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C9D9F">
      <w:pPr>
        <w:spacing w:line="360" w:lineRule="auto"/>
        <w:ind w:firstLine="709"/>
        <w:jc w:val="center"/>
        <w:rPr>
          <w:lang w:val="uk-UA"/>
        </w:rPr>
      </w:pPr>
      <w:bookmarkStart w:id="0" w:name="_GoBack"/>
      <w:bookmarkEnd w:id="0"/>
      <w:r>
        <w:rPr>
          <w:b/>
          <w:bCs/>
          <w:lang w:val="uk-UA"/>
        </w:rPr>
        <w:t>Рецензія</w:t>
      </w:r>
    </w:p>
    <w:p w14:paraId="55D7A31E">
      <w:pPr>
        <w:spacing w:line="360" w:lineRule="auto"/>
        <w:ind w:firstLine="709"/>
        <w:jc w:val="center"/>
        <w:rPr>
          <w:lang w:val="uk-UA"/>
        </w:rPr>
      </w:pPr>
      <w:r>
        <w:rPr>
          <w:lang w:val="uk-UA"/>
        </w:rPr>
        <w:t>доктора юридичних наук, професора, завідувача кафедри цивільного, господарського та екологічного права Національного технічного університету «Дніпровська політехніка» Пушкіної Олени Вікторівни на дисертацію Онищенка Владислава Вячеславовича на тему: «Нормативно-правове регулювання здійснення контролю за обробкою персональних даних», подану на здобуття ступеня доктора філософії у галузі знань 08 «Право» за спеціальністю 081 «Право»</w:t>
      </w:r>
    </w:p>
    <w:p w14:paraId="4C99A53E">
      <w:pPr>
        <w:spacing w:line="360" w:lineRule="auto"/>
        <w:ind w:firstLine="709"/>
        <w:jc w:val="both"/>
        <w:rPr>
          <w:lang w:val="uk-UA"/>
        </w:rPr>
      </w:pPr>
      <w:r>
        <w:rPr>
          <w:b/>
          <w:bCs/>
          <w:lang w:val="uk-UA"/>
        </w:rPr>
        <w:t xml:space="preserve">Актуальність дисертаційної роботи </w:t>
      </w:r>
      <w:r>
        <w:rPr>
          <w:lang w:val="uk-UA"/>
        </w:rPr>
        <w:t>В.В. Онищенка визначається зростанням значення контролю за обробкою персональних даних як самостійного правового механізму гарантування інформаційних прав особи в умовах цифровізації суспільства та дії правового режиму воєнного стану. Персональні дані сьогодні є не лише об'єктом технічної обробки, а й одним із найбільш уразливих об'єктів правової охорони, від ефективності якої безпосередньо залежить реалізація конституційного права людини на невтручання в особисте життя, закріпленого статтею 32 Конституції України.</w:t>
      </w:r>
    </w:p>
    <w:p w14:paraId="3D651237">
      <w:pPr>
        <w:spacing w:line="360" w:lineRule="auto"/>
        <w:ind w:firstLine="709"/>
        <w:jc w:val="both"/>
        <w:rPr>
          <w:lang w:val="uk-UA"/>
        </w:rPr>
      </w:pPr>
      <w:r>
        <w:rPr>
          <w:lang w:val="uk-UA"/>
        </w:rPr>
        <w:t>Особливого значення проблематика контролю за обробкою персональних даних набуває саме в умовах воєнного стану, коли обсяг оброблюваних державою відомостей про особу різко зростає, а наслідки їх неправомірного розкриття стають незворотними. Повномасштабна збройна агресія російської федерації проти України зумовила масове переміщення населення та формування великих масивів персональних даних внутрішньо переміщених осіб, які обробляються органами соціального захисту, гуманітарними та міжнародними організаціями за умов, що не завжди дозволяють забезпечити належний рівень захисту таких даних. Водночас обробка персональних даних військовослужбовців, членів їхніх сімей та осіб, причетних до забезпечення обороноздатності держави, становить окрему групу відносин підвищеної чутливості, у яких неправомірне поширення інформації здатне створювати безпосередню загрозу життю та безпеці конкретних осіб. За таких обставин ефективний контроль за додержанням законодавства про захист персональних даних набуває не лише правового, а й безпекового значення, що істотно підвищує актуальність обраної дисертантом теми.</w:t>
      </w:r>
    </w:p>
    <w:p w14:paraId="6978A7E3">
      <w:pPr>
        <w:spacing w:line="360" w:lineRule="auto"/>
        <w:ind w:firstLine="709"/>
        <w:jc w:val="both"/>
        <w:rPr>
          <w:lang w:val="uk-UA"/>
        </w:rPr>
      </w:pPr>
      <w:r>
        <w:rPr>
          <w:lang w:val="uk-UA"/>
        </w:rPr>
        <w:t>Додаткової ваги проблематика набуває з огляду на кібератаки на державні інформаційні ресурси та реєстри, ризики несанкціонованого поширення персональних даних у межах інформаційного протистояння, а також потребу транскордонної передачі даних із використанням іноземної інфраструктури, що є характерною ознакою діяльності в умовах війни. Ці обставини засвідчують недостатність традиційної реактивної моделі контролю, орієнтованої на реагування на вже вчинене порушення, і актуалізують науковий пошук у напрямі побудови превентивної, ризик-орієнтованої моделі контролю, чому й присвячена рецензована дисертація.</w:t>
      </w:r>
    </w:p>
    <w:p w14:paraId="54CD9C7C">
      <w:pPr>
        <w:spacing w:line="360" w:lineRule="auto"/>
        <w:ind w:firstLine="709"/>
        <w:jc w:val="both"/>
        <w:rPr>
          <w:lang w:val="uk-UA"/>
        </w:rPr>
      </w:pPr>
      <w:r>
        <w:rPr>
          <w:lang w:val="uk-UA"/>
        </w:rPr>
        <w:t>Актуальність теми посилюється також незавершеністю процесу гармонізації національного законодавства із Загальним регламентом про захист даних та Модернізованою Конвенцією Ради Європи про захист осіб у зв'язку з автоматизованою обробкою персональних даних, а також потребою інституційного реформування системи захисту персональних даних в Україні в межах виконання зобов'язань, пов'язаних із набуттям членства в Європейському Союзі. У цьому аспекті дисертація В.В. Онищенка є своєчасною, науково затребуваною та спрямованою на вирішення актуального завдання юридичної науки і правозастосовної практики.</w:t>
      </w:r>
    </w:p>
    <w:p w14:paraId="6EF925E6">
      <w:pPr>
        <w:spacing w:line="360" w:lineRule="auto"/>
        <w:ind w:firstLine="709"/>
        <w:jc w:val="both"/>
        <w:rPr>
          <w:lang w:val="uk-UA"/>
        </w:rPr>
      </w:pPr>
      <w:r>
        <w:rPr>
          <w:b/>
          <w:bCs/>
          <w:lang w:val="uk-UA"/>
        </w:rPr>
        <w:t>Ступінь обґрунтованості наукових положень, висновків і рекомендацій</w:t>
      </w:r>
    </w:p>
    <w:p w14:paraId="672FD520">
      <w:pPr>
        <w:spacing w:line="360" w:lineRule="auto"/>
        <w:ind w:firstLine="709"/>
        <w:jc w:val="both"/>
        <w:rPr>
          <w:lang w:val="uk-UA"/>
        </w:rPr>
      </w:pPr>
      <w:r>
        <w:rPr>
          <w:lang w:val="uk-UA"/>
        </w:rPr>
        <w:t>Ознайомлення зі змістом дисертації В.В. Онищенка дає підстави стверджувати, що робота виконана на належному науковому рівні, має чітку внутрішню логіку та ґрунтується на достатній теоретичній, нормативній і емпіричній базі. Автором опрацьовано значний масив наукових джерел із загальної теорії права, конституційного, адміністративного та інформаційного права, а також праць зарубіжних учених у сфері захисту персональних даних.</w:t>
      </w:r>
    </w:p>
    <w:p w14:paraId="31100E1C">
      <w:pPr>
        <w:spacing w:line="360" w:lineRule="auto"/>
        <w:ind w:firstLine="709"/>
        <w:jc w:val="both"/>
        <w:rPr>
          <w:lang w:val="uk-UA"/>
        </w:rPr>
      </w:pPr>
      <w:r>
        <w:rPr>
          <w:lang w:val="uk-UA"/>
        </w:rPr>
        <w:t>Обґрунтованість результатів дослідження забезпечується використанням комплексу загальнонаукових і спеціально-юридичних методів, які відповідають меті, завданням, об'єкту і предмету роботи. Послідовне застосування формально-юридичного, системно-структурного, історико-правового, порівняльно-правового та статистичного методів дозволило авторові комплексно дослідити контроль за обробкою персональних даних як особливий вид публічного контролю. Особливо слід відзначити застосування дисертантом емпіричного методу – систематизованого аналізу судової практики за статтями 188-39 і 188-40 Кодексу України про адміністративні правопорушення, що надало висновкам роботи самостійної доказової ваги.</w:t>
      </w:r>
    </w:p>
    <w:p w14:paraId="4FFA07B6">
      <w:pPr>
        <w:spacing w:line="360" w:lineRule="auto"/>
        <w:ind w:firstLine="709"/>
        <w:jc w:val="both"/>
        <w:rPr>
          <w:lang w:val="uk-UA"/>
        </w:rPr>
      </w:pPr>
      <w:r>
        <w:rPr>
          <w:lang w:val="uk-UA"/>
        </w:rPr>
        <w:t>Достовірність сформульованих у дисертації висновків підтверджується використанням положень Конституції України, Закону України «Про захист персональних даних», Кодексу України про адміністративні правопорушення, Загального регламенту про захист даних, Конвенції № 108 та Модернізованої Конвенції 108+, практики Європейського суду з прав людини, Суду Європейського Союзу та Конституційного Суду України. Важливим є й те, що основні результати роботи апробовані у наукових публікаціях та під час участі здобувача у науково-практичних заходах. У цілому наукові положення, висновки і рекомендації, сформульовані В.В. Онищенком, є логічними, аргументованими та такими, що випливають зі змісту проведеного дослідження.</w:t>
      </w:r>
    </w:p>
    <w:p w14:paraId="4606AC28">
      <w:pPr>
        <w:spacing w:line="360" w:lineRule="auto"/>
        <w:ind w:firstLine="709"/>
        <w:jc w:val="both"/>
        <w:rPr>
          <w:lang w:val="uk-UA"/>
        </w:rPr>
      </w:pPr>
      <w:r>
        <w:rPr>
          <w:b/>
          <w:bCs/>
          <w:lang w:val="uk-UA"/>
        </w:rPr>
        <w:t>Наукова новизна одержаних результатів</w:t>
      </w:r>
    </w:p>
    <w:p w14:paraId="0907489C">
      <w:pPr>
        <w:spacing w:line="360" w:lineRule="auto"/>
        <w:ind w:firstLine="709"/>
        <w:jc w:val="both"/>
        <w:rPr>
          <w:lang w:val="uk-UA"/>
        </w:rPr>
      </w:pPr>
      <w:r>
        <w:rPr>
          <w:lang w:val="uk-UA"/>
        </w:rPr>
        <w:t>Наукова новизна дисертації полягає у комплексному дослідженні контролю за обробкою персональних даних як самостійного виду публічного контролю, що не зводиться до традиційних адміністративно-наглядових механізмів. Автором запропоновано низку положень, які мають наукову цінність і можуть бути використані для подальшого розвитку юридичної науки та правозастосовної практики.</w:t>
      </w:r>
    </w:p>
    <w:p w14:paraId="7779467C">
      <w:pPr>
        <w:spacing w:line="360" w:lineRule="auto"/>
        <w:ind w:firstLine="709"/>
        <w:jc w:val="both"/>
        <w:rPr>
          <w:lang w:val="uk-UA"/>
        </w:rPr>
      </w:pPr>
      <w:r>
        <w:rPr>
          <w:lang w:val="uk-UA"/>
        </w:rPr>
        <w:t>Заслуговує на підтримку авторська концепція сферозалежного (секторального) характеру контролю, відповідно до якої конфігурація контрольного механізму – коло суб'єктів, обсяг повноважень і застосовні форми – визначається природою суспільних відносин, у межах яких здійснюється обробка персональних даних. Важливим є також запропоноване дисертантом розмежування спеціальних (чутливих) персональних даних у розумінні статті 7 Закону України «Про захист персональних даних» і персональних даних, обробка яких становить особливий ризик для прав і свобод суб'єктів персональних даних, у розумінні підзаконного регулювання: автор переконливо доводить, що ці категорії мають різну юридичну силу джерел і різний змістовий обсяг, а їх нормативна неузгодженість потребує усунення шляхом доповнення профільного Закону.</w:t>
      </w:r>
    </w:p>
    <w:p w14:paraId="0291FDA2">
      <w:pPr>
        <w:spacing w:line="360" w:lineRule="auto"/>
        <w:ind w:firstLine="709"/>
        <w:jc w:val="both"/>
        <w:rPr>
          <w:lang w:val="uk-UA"/>
        </w:rPr>
      </w:pPr>
      <w:r>
        <w:rPr>
          <w:lang w:val="uk-UA"/>
        </w:rPr>
        <w:t>У роботі запропоновано п'ятирівневу типологію суб'єктів контролю за обробкою персональних даних, доповнену громадським контролем як наскрізним квазіконтрольним елементом; обґрунтовано концептуальну некоректність кваліфікації судів як суб'єктів контролю; побудовано авторську причинно-наслідкову модель неефективності адміністративної відповідальності та розроблено Supervisory Effectiveness Index як інструмент порівняльної оцінки ефективності наглядових органів. Заслуговує на схвалення й запропонований автором трискладовий тест допустимості публікації персональних даних дітей у медіа, що адаптує вироблені практикою Європейського суду з прав людини критерії балансування до особливого статусу дитини.</w:t>
      </w:r>
    </w:p>
    <w:p w14:paraId="35BBE99F">
      <w:pPr>
        <w:spacing w:line="360" w:lineRule="auto"/>
        <w:ind w:firstLine="709"/>
        <w:jc w:val="both"/>
        <w:rPr>
          <w:lang w:val="uk-UA"/>
        </w:rPr>
      </w:pPr>
      <w:r>
        <w:rPr>
          <w:b/>
          <w:bCs/>
          <w:lang w:val="uk-UA"/>
        </w:rPr>
        <w:t xml:space="preserve">Оцінюючи структуру та зміст дисертації, </w:t>
      </w:r>
      <w:r>
        <w:rPr>
          <w:lang w:val="uk-UA"/>
        </w:rPr>
        <w:t>слід зазначити, що робота складається зі вступу, трьох розділів, об'єднаних у вісім підрозділів, висновків, списку використаних джерел і додатків. Перший розділ присвячено теоретико-правовій характеристиці обробки персональних даних, другий – системі суб'єктів контролю та відповідальності за порушення законодавства про обробку персональних даних, третій – напрямам забезпечення ефективності контролю з урахуванням міжнародних стандартів, зарубіжного досвіду та викликів технологій штучного інтелекту. Зміст роботи свідчить про послідовне розкриття поставленої наукової проблеми та завершеність проведеного дослідження.</w:t>
      </w:r>
    </w:p>
    <w:p w14:paraId="04FE5455">
      <w:pPr>
        <w:spacing w:line="360" w:lineRule="auto"/>
        <w:ind w:firstLine="709"/>
        <w:jc w:val="both"/>
        <w:rPr>
          <w:lang w:val="uk-UA"/>
        </w:rPr>
      </w:pPr>
      <w:r>
        <w:rPr>
          <w:b/>
          <w:bCs/>
          <w:lang w:val="uk-UA"/>
        </w:rPr>
        <w:t>Дискусійні положення та зауваження до дисертаційного дослідження</w:t>
      </w:r>
    </w:p>
    <w:p w14:paraId="2BF5E3A6">
      <w:pPr>
        <w:spacing w:line="360" w:lineRule="auto"/>
        <w:ind w:firstLine="709"/>
        <w:jc w:val="both"/>
        <w:rPr>
          <w:lang w:val="uk-UA"/>
        </w:rPr>
      </w:pPr>
      <w:r>
        <w:rPr>
          <w:lang w:val="uk-UA"/>
        </w:rPr>
        <w:t>Схвально оцінюючи дисертаційне дослідження В.В. Онищенка, водночас вважаємо за доцільне висловити окремі зауваження та побажання.</w:t>
      </w:r>
    </w:p>
    <w:p w14:paraId="132B1593">
      <w:pPr>
        <w:spacing w:line="360" w:lineRule="auto"/>
        <w:ind w:firstLine="709"/>
        <w:jc w:val="both"/>
        <w:rPr>
          <w:lang w:val="uk-UA"/>
        </w:rPr>
      </w:pPr>
      <w:r>
        <w:rPr>
          <w:lang w:val="uk-UA"/>
        </w:rPr>
        <w:t>1. Дисертант ґрунтовно обґрунтовує підвищену чутливість персональних даних в умовах воєнного стану, однак у роботі бракує окремого аналізу особливостей контролю за обробкою інформації про військовослужбовців та осіб, причетних до забезпечення обороноздатності держави. Обробка таких даних має суттєву специфіку, зумовлену взаємодією законодавства про захист персональних даних із законодавством про державну таємницю, про оборону та про правовий режим воєнного стану, а неправомірне їх поширення здатне створювати безпосередню загрозу безпеці конкретних осіб. Окреме дослідження особливостей контролю за обробкою персональних даних цієї категорії суб'єктів, а також меж допустимого обмеження інформаційних прав в умовах воєнного стану, істотно посилило б практичну спрямованість роботи;</w:t>
      </w:r>
    </w:p>
    <w:p w14:paraId="76E759B4">
      <w:pPr>
        <w:spacing w:line="360" w:lineRule="auto"/>
        <w:ind w:firstLine="709"/>
        <w:jc w:val="both"/>
        <w:rPr>
          <w:lang w:val="uk-UA"/>
        </w:rPr>
      </w:pPr>
      <w:r>
        <w:rPr>
          <w:lang w:val="uk-UA"/>
        </w:rPr>
        <w:t>2. У дисертації ґрунтовно проаналізовано проблематику захисту персональних даних внутрішньо переміщених осіб як осіб, що перебувають в умовах підвищеної вразливості. Водночас поза увагою автора певною мірою залишилися особливості контролю за обробкою персональних даних цієї категорії осіб недержавними та міжнародними організаціями, які беруть участь у наданні гуманітарної допомоги і нерідко здійснюють транскордонну передачу відповідних даних з використанням іноземної інфраструктури. Висвітлення механізмів контролю саме за цим сегментом обробки даних сприяло б повноті дослідження;</w:t>
      </w:r>
    </w:p>
    <w:p w14:paraId="24693C2A">
      <w:pPr>
        <w:spacing w:line="360" w:lineRule="auto"/>
        <w:ind w:firstLine="709"/>
        <w:jc w:val="both"/>
        <w:rPr>
          <w:lang w:val="uk-UA"/>
        </w:rPr>
      </w:pPr>
      <w:r>
        <w:rPr>
          <w:lang w:val="uk-UA"/>
        </w:rPr>
        <w:t>3. Заслуговує на підтримку розроблений автором Supervisory Effectiveness Index, однак у роботі бракує аналізу можливості його застосування для оцінки ефективності контролю не лише на рівні порівняння національних моделей різних держав, а й у динаміці – для оцінки того самого наглядового органу в різні періоди, зокрема до і в умовах воєнного стану. Такий динамічний вимір індексу міг би стати самостійним інструментом моніторингу стану інформаційних прав в Україні;</w:t>
      </w:r>
    </w:p>
    <w:p w14:paraId="7435CEC7">
      <w:pPr>
        <w:spacing w:line="360" w:lineRule="auto"/>
        <w:ind w:firstLine="709"/>
        <w:jc w:val="both"/>
        <w:rPr>
          <w:lang w:val="uk-UA"/>
        </w:rPr>
      </w:pPr>
      <w:r>
        <w:rPr>
          <w:lang w:val="uk-UA"/>
        </w:rPr>
        <w:t>4. У роботі докладно розкрито адміністративну відповідальність за порушення законодавства про обробку персональних даних, водночас цивільно-правовий механізм відшкодування шкоди, завданої суб'єктові персональних даних унаслідок неправомірної обробки, висвітлено переважно на рівні констатації його нерозвиненості. З огляду на профіль кафедри цивільного, господарського та екологічного права, а також на те, що саме компенсаційний механізм є одним із ключових засобів захисту прав особи в європейській моделі, докладніше опрацювання цивільно-правового виміру відповідальності посилило б міжгалузевий характер дослідження;</w:t>
      </w:r>
    </w:p>
    <w:p w14:paraId="4F4A98FC">
      <w:pPr>
        <w:spacing w:line="360" w:lineRule="auto"/>
        <w:ind w:firstLine="709"/>
        <w:jc w:val="both"/>
        <w:rPr>
          <w:lang w:val="uk-UA"/>
        </w:rPr>
      </w:pPr>
      <w:r>
        <w:rPr>
          <w:lang w:val="uk-UA"/>
        </w:rPr>
        <w:t>5. Пропонуючи перехід до спеціалізованого незалежного наглядового органу, дисертант обґрунтовано спирається на європейський досвід, однак у роботі недостатньо розкрито питання про особливості функціонування такого органу в умовах воєнного стану, коли частину контрольних заходів об'єктивно обмежено, а окремі повноваження наглядового органу можуть тимчасово призупинятися. Визначення того, які контрольні функції мають зберігатися навіть за умов воєнного стану, надало б запропонованій моделі більшої практичної завершеності.</w:t>
      </w:r>
    </w:p>
    <w:p w14:paraId="7BDBDC93">
      <w:pPr>
        <w:spacing w:line="360" w:lineRule="auto"/>
        <w:ind w:firstLine="709"/>
        <w:jc w:val="both"/>
        <w:rPr>
          <w:lang w:val="uk-UA"/>
        </w:rPr>
      </w:pPr>
      <w:r>
        <w:rPr>
          <w:lang w:val="uk-UA"/>
        </w:rPr>
        <w:t>В той же час висловлені зауваження переважно мають характер побажань і суттєво не впливають на загальну високу наукову цінність рецензованої роботи та позитивну оцінку проведеного автором дослідження. Вдалий і логічно поєднаний вибір у дослідженні питань, їх актуальність, розумне співвідношення теоретичних міркувань та прикладів з практики, чіткість викладу матеріалу, аргументованість наукових висновків і узагальнень свідчать про значний науковий рівень проведеного дослідження та його практичне значення.</w:t>
      </w:r>
    </w:p>
    <w:p w14:paraId="3CA9FC39">
      <w:pPr>
        <w:spacing w:line="360" w:lineRule="auto"/>
        <w:ind w:firstLine="709"/>
        <w:jc w:val="both"/>
        <w:rPr>
          <w:lang w:val="uk-UA"/>
        </w:rPr>
      </w:pPr>
      <w:r>
        <w:rPr>
          <w:b/>
          <w:bCs/>
          <w:lang w:val="uk-UA"/>
        </w:rPr>
        <w:t>Повнота викладу наукових положень, висновків і рекомендацій в наукових публікаціях за темою дисертації.</w:t>
      </w:r>
    </w:p>
    <w:p w14:paraId="603DE442">
      <w:pPr>
        <w:spacing w:line="360" w:lineRule="auto"/>
        <w:ind w:firstLine="709"/>
        <w:jc w:val="both"/>
        <w:rPr>
          <w:lang w:val="uk-UA"/>
        </w:rPr>
      </w:pPr>
      <w:r>
        <w:rPr>
          <w:lang w:val="uk-UA"/>
        </w:rPr>
        <w:t>Основні результати дисертаційного дослідження В.В. Онищенка належним чином відображені у 5 наукових працях, з яких 3 наукові статті опубліковано у фахових наукових виданнях України, 1 стаття – у міжнародному науковому виданні, а також 1 праця, опублікована у співавторстві, із чітко визначеним особистим внеском здобувача. Такий рівень представлення результатів наукової роботи є достатнім; кількість, зміст, обсяг і спрямованість публікацій відповідають установленим вимогам Міністерства освіти і науки України. Зазначені праці повною мірою розкривають основні положення дисертації, її наукову новизну, висновки та практичні рекомендації.</w:t>
      </w:r>
    </w:p>
    <w:p w14:paraId="416A91BE">
      <w:pPr>
        <w:spacing w:line="360" w:lineRule="auto"/>
        <w:ind w:firstLine="709"/>
        <w:jc w:val="both"/>
        <w:rPr>
          <w:lang w:val="uk-UA"/>
        </w:rPr>
      </w:pPr>
      <w:r>
        <w:rPr>
          <w:lang w:val="uk-UA"/>
        </w:rPr>
        <w:t>Практичне значення отриманих результатів полягає в тому, що сформульовані у роботі висновки та пропозиції можуть бути використані у науково-дослідній сфері – для подальшого опрацювання теоретичних і прикладних проблем контролю за обробкою персональних даних; в освітньому процесі – під час підготовки навчальних курсів із дисциплін «Інформаційне право», «Адміністративне право і процес», «Конституційне право»; у правотворчій діяльності – при вдосконаленні Закону України «Про захист персональних даних», Кодексу України про адміністративні правопорушення, Закону України «Про медіа» та Закону України «Про охорону дитинства»; у правозастосовній діяльності – для оптимізації діяльності суб'єктів контролю за додержанням законодавства про захист персональних даних, що підтверджується актами впровадження результатів дослідження.</w:t>
      </w:r>
    </w:p>
    <w:p w14:paraId="3065F0BA">
      <w:pPr>
        <w:spacing w:line="360" w:lineRule="auto"/>
        <w:ind w:firstLine="709"/>
        <w:jc w:val="both"/>
        <w:rPr>
          <w:lang w:val="uk-UA"/>
        </w:rPr>
      </w:pPr>
      <w:r>
        <w:rPr>
          <w:b/>
          <w:bCs/>
          <w:lang w:val="uk-UA"/>
        </w:rPr>
        <w:t>Відсутність порушень академічної доброчесності</w:t>
      </w:r>
    </w:p>
    <w:p w14:paraId="51D0ED14">
      <w:pPr>
        <w:spacing w:line="360" w:lineRule="auto"/>
        <w:ind w:firstLine="709"/>
        <w:jc w:val="both"/>
        <w:rPr>
          <w:lang w:val="uk-UA"/>
        </w:rPr>
      </w:pPr>
      <w:r>
        <w:rPr>
          <w:lang w:val="uk-UA"/>
        </w:rPr>
        <w:t>Дисертація В.В. Онищенка є самостійною кваліфікаційною науковою працею, у якій сформульовано науково обґрунтовані положення, висновки та рекомендації, винесені автором на публічний захист. Використані у роботі ідеї, положення, результати досліджень і тексти інших авторів супроводжуються належними посиланнями на відповідні джерела. У дисертації не встановлено ознак привласнення чужих ідей, наукових результатів або текстових фрагментів без належного оформлення цитування. Автором дотримано вимоги академічної доброчесності, а також положення чинного законодавства України про авторське право і суміжні права. Отже, у дисертаційному дослідженні В.В. Онищенка порушень академічної доброчесності не виявлено.</w:t>
      </w:r>
    </w:p>
    <w:p w14:paraId="57240C7A">
      <w:pPr>
        <w:spacing w:line="360" w:lineRule="auto"/>
        <w:ind w:firstLine="709"/>
        <w:jc w:val="both"/>
        <w:rPr>
          <w:lang w:val="uk-UA"/>
        </w:rPr>
      </w:pPr>
      <w:r>
        <w:rPr>
          <w:b/>
          <w:bCs/>
          <w:lang w:val="uk-UA"/>
        </w:rPr>
        <w:t>Висновок щодо відповідності дисертації встановленим вимогам МОН України.</w:t>
      </w:r>
    </w:p>
    <w:p w14:paraId="1CFF99F6">
      <w:pPr>
        <w:spacing w:line="360" w:lineRule="auto"/>
        <w:ind w:firstLine="709"/>
        <w:jc w:val="both"/>
        <w:rPr>
          <w:lang w:val="uk-UA"/>
        </w:rPr>
      </w:pPr>
      <w:r>
        <w:rPr>
          <w:lang w:val="uk-UA"/>
        </w:rPr>
        <w:t>Викладене дозволяє зробити висновок, що дисертація «Нормативно-правове регулювання здійснення контролю за обробкою персональних даних» є завершеною працею, в якій отримано нові науково обґрунтовані результати, що в сукупності вирішують конкретне наукове завдання, яке має істотне значення для правової науки, тобто повністю відповідає вимогам 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року № 261 (зі змінами), та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 № 44 (зі змінами), а її автор – Онищенко Владислав Вячеславович – на основі публічного захисту заслуговує на присудження йому ступеня доктора філософії за спеціальністю 081 «Право».</w:t>
      </w:r>
    </w:p>
    <w:p w14:paraId="14C22C97">
      <w:pPr>
        <w:spacing w:line="360" w:lineRule="auto"/>
        <w:ind w:firstLine="709"/>
        <w:jc w:val="both"/>
        <w:rPr>
          <w:lang w:val="uk-UA"/>
        </w:rPr>
      </w:pPr>
    </w:p>
    <w:p w14:paraId="78355580">
      <w:pPr>
        <w:spacing w:line="360" w:lineRule="auto"/>
        <w:ind w:firstLine="709"/>
        <w:jc w:val="both"/>
        <w:rPr>
          <w:lang w:val="uk-UA"/>
        </w:rPr>
      </w:pPr>
      <w:r>
        <w:rPr>
          <w:b/>
          <w:bCs/>
          <w:lang w:val="uk-UA"/>
        </w:rPr>
        <w:t>Рецензент:</w:t>
      </w:r>
    </w:p>
    <w:p w14:paraId="311DF5A1">
      <w:pPr>
        <w:spacing w:line="360" w:lineRule="auto"/>
        <w:ind w:firstLine="709"/>
        <w:jc w:val="both"/>
        <w:rPr>
          <w:lang w:val="uk-UA"/>
        </w:rPr>
      </w:pPr>
      <w:r>
        <w:rPr>
          <w:lang w:val="uk-UA"/>
        </w:rPr>
        <w:t>завідувач кафедри цивільного, господарського</w:t>
      </w:r>
    </w:p>
    <w:p w14:paraId="6564EB24">
      <w:pPr>
        <w:spacing w:line="360" w:lineRule="auto"/>
        <w:ind w:firstLine="709"/>
        <w:jc w:val="both"/>
        <w:rPr>
          <w:lang w:val="uk-UA"/>
        </w:rPr>
      </w:pPr>
      <w:r>
        <w:rPr>
          <w:lang w:val="uk-UA"/>
        </w:rPr>
        <w:t>та екологічного права Національного технічного</w:t>
      </w:r>
    </w:p>
    <w:p w14:paraId="6B9DB31F">
      <w:pPr>
        <w:spacing w:line="360" w:lineRule="auto"/>
        <w:ind w:firstLine="709"/>
        <w:jc w:val="both"/>
        <w:rPr>
          <w:lang w:val="uk-UA"/>
        </w:rPr>
      </w:pPr>
      <w:r>
        <w:rPr>
          <w:lang w:val="uk-UA"/>
        </w:rPr>
        <w:t>університету «Дніпровська політехніка»,</w:t>
      </w:r>
    </w:p>
    <w:p w14:paraId="1BED8D72">
      <w:pPr>
        <w:spacing w:line="360" w:lineRule="auto"/>
        <w:ind w:firstLine="709"/>
        <w:jc w:val="both"/>
        <w:rPr>
          <w:lang w:val="uk-UA"/>
        </w:rPr>
      </w:pPr>
      <w:r>
        <w:rPr>
          <w:lang w:val="uk-UA"/>
        </w:rPr>
        <w:t>доктор юридичних наук, професор                                        О.В. Пушкіна</w:t>
      </w:r>
    </w:p>
    <w:sectPr>
      <w:pgSz w:w="11906" w:h="16838"/>
      <w:pgMar w:top="1134" w:right="850" w:bottom="1134" w:left="1701"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E3"/>
    <w:rsid w:val="006818E3"/>
    <w:rsid w:val="008E0FED"/>
    <w:rsid w:val="00C6290F"/>
    <w:rsid w:val="68DA01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ru-RU" w:eastAsia="ru-RU" w:bidi="ar-SA"/>
    </w:rPr>
  </w:style>
  <w:style w:type="paragraph" w:styleId="2">
    <w:name w:val="heading 1"/>
    <w:qFormat/>
    <w:uiPriority w:val="9"/>
    <w:pPr>
      <w:outlineLvl w:val="0"/>
    </w:pPr>
    <w:rPr>
      <w:rFonts w:ascii="Times New Roman" w:hAnsi="Times New Roman" w:eastAsia="Times New Roman" w:cs="Times New Roman"/>
      <w:color w:val="2E74B5"/>
      <w:sz w:val="32"/>
      <w:szCs w:val="32"/>
      <w:lang w:val="ru-RU" w:eastAsia="ru-RU" w:bidi="ar-SA"/>
    </w:rPr>
  </w:style>
  <w:style w:type="paragraph" w:styleId="3">
    <w:name w:val="heading 2"/>
    <w:semiHidden/>
    <w:unhideWhenUsed/>
    <w:qFormat/>
    <w:uiPriority w:val="9"/>
    <w:pPr>
      <w:outlineLvl w:val="1"/>
    </w:pPr>
    <w:rPr>
      <w:rFonts w:ascii="Times New Roman" w:hAnsi="Times New Roman" w:eastAsia="Times New Roman" w:cs="Times New Roman"/>
      <w:color w:val="2E74B5"/>
      <w:sz w:val="26"/>
      <w:szCs w:val="26"/>
      <w:lang w:val="ru-RU" w:eastAsia="ru-RU" w:bidi="ar-SA"/>
    </w:rPr>
  </w:style>
  <w:style w:type="paragraph" w:styleId="4">
    <w:name w:val="heading 3"/>
    <w:semiHidden/>
    <w:unhideWhenUsed/>
    <w:qFormat/>
    <w:uiPriority w:val="9"/>
    <w:pPr>
      <w:outlineLvl w:val="2"/>
    </w:pPr>
    <w:rPr>
      <w:rFonts w:ascii="Times New Roman" w:hAnsi="Times New Roman" w:eastAsia="Times New Roman" w:cs="Times New Roman"/>
      <w:color w:val="1F4D78"/>
      <w:sz w:val="24"/>
      <w:szCs w:val="24"/>
      <w:lang w:val="ru-RU" w:eastAsia="ru-RU" w:bidi="ar-SA"/>
    </w:rPr>
  </w:style>
  <w:style w:type="paragraph" w:styleId="5">
    <w:name w:val="heading 4"/>
    <w:semiHidden/>
    <w:unhideWhenUsed/>
    <w:qFormat/>
    <w:uiPriority w:val="9"/>
    <w:pPr>
      <w:outlineLvl w:val="3"/>
    </w:pPr>
    <w:rPr>
      <w:rFonts w:ascii="Times New Roman" w:hAnsi="Times New Roman" w:eastAsia="Times New Roman" w:cs="Times New Roman"/>
      <w:i/>
      <w:iCs/>
      <w:color w:val="2E74B5"/>
      <w:sz w:val="28"/>
      <w:szCs w:val="28"/>
      <w:lang w:val="ru-RU" w:eastAsia="ru-RU" w:bidi="ar-SA"/>
    </w:rPr>
  </w:style>
  <w:style w:type="paragraph" w:styleId="6">
    <w:name w:val="heading 5"/>
    <w:semiHidden/>
    <w:unhideWhenUsed/>
    <w:qFormat/>
    <w:uiPriority w:val="9"/>
    <w:pPr>
      <w:outlineLvl w:val="4"/>
    </w:pPr>
    <w:rPr>
      <w:rFonts w:ascii="Times New Roman" w:hAnsi="Times New Roman" w:eastAsia="Times New Roman" w:cs="Times New Roman"/>
      <w:color w:val="2E74B5"/>
      <w:sz w:val="28"/>
      <w:szCs w:val="28"/>
      <w:lang w:val="ru-RU" w:eastAsia="ru-RU" w:bidi="ar-SA"/>
    </w:rPr>
  </w:style>
  <w:style w:type="paragraph" w:styleId="7">
    <w:name w:val="heading 6"/>
    <w:semiHidden/>
    <w:unhideWhenUsed/>
    <w:qFormat/>
    <w:uiPriority w:val="9"/>
    <w:pPr>
      <w:outlineLvl w:val="5"/>
    </w:pPr>
    <w:rPr>
      <w:rFonts w:ascii="Times New Roman" w:hAnsi="Times New Roman" w:eastAsia="Times New Roman" w:cs="Times New Roman"/>
      <w:color w:val="1F4D78"/>
      <w:sz w:val="28"/>
      <w:szCs w:val="28"/>
      <w:lang w:val="ru-RU" w:eastAsia="ru-RU"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9"/>
    <w:semiHidden/>
    <w:unhideWhenUsed/>
    <w:qFormat/>
    <w:uiPriority w:val="99"/>
    <w:rPr>
      <w:rFonts w:ascii="Times New Roman" w:hAnsi="Times New Roman" w:eastAsia="Times New Roman" w:cs="Times New Roman"/>
      <w:sz w:val="20"/>
      <w:szCs w:val="20"/>
      <w:lang w:val="ru-RU" w:eastAsia="ru-RU" w:bidi="ar-SA"/>
    </w:rPr>
  </w:style>
  <w:style w:type="character" w:styleId="12">
    <w:name w:val="footnote reference"/>
    <w:semiHidden/>
    <w:unhideWhenUsed/>
    <w:qFormat/>
    <w:uiPriority w:val="99"/>
    <w:rPr>
      <w:vertAlign w:val="superscript"/>
    </w:rPr>
  </w:style>
  <w:style w:type="paragraph" w:styleId="13">
    <w:name w:val="footnote text"/>
    <w:link w:val="18"/>
    <w:semiHidden/>
    <w:unhideWhenUsed/>
    <w:qFormat/>
    <w:uiPriority w:val="99"/>
    <w:rPr>
      <w:rFonts w:ascii="Times New Roman" w:hAnsi="Times New Roman" w:eastAsia="Times New Roman" w:cs="Times New Roman"/>
      <w:sz w:val="20"/>
      <w:szCs w:val="20"/>
      <w:lang w:val="ru-RU" w:eastAsia="ru-RU" w:bidi="ar-SA"/>
    </w:rPr>
  </w:style>
  <w:style w:type="character" w:styleId="14">
    <w:name w:val="Hyperlink"/>
    <w:unhideWhenUsed/>
    <w:qFormat/>
    <w:uiPriority w:val="99"/>
    <w:rPr>
      <w:color w:val="0563C1"/>
      <w:u w:val="single"/>
    </w:rPr>
  </w:style>
  <w:style w:type="paragraph" w:styleId="15">
    <w:name w:val="Title"/>
    <w:qFormat/>
    <w:uiPriority w:val="10"/>
    <w:rPr>
      <w:rFonts w:ascii="Times New Roman" w:hAnsi="Times New Roman" w:eastAsia="Times New Roman" w:cs="Times New Roman"/>
      <w:sz w:val="56"/>
      <w:szCs w:val="56"/>
      <w:lang w:val="ru-RU" w:eastAsia="ru-RU" w:bidi="ar-SA"/>
    </w:rPr>
  </w:style>
  <w:style w:type="paragraph" w:customStyle="1" w:styleId="16">
    <w:name w:val="Строгий1"/>
    <w:qFormat/>
    <w:uiPriority w:val="0"/>
    <w:rPr>
      <w:rFonts w:ascii="Times New Roman" w:hAnsi="Times New Roman" w:eastAsia="Times New Roman" w:cs="Times New Roman"/>
      <w:b/>
      <w:bCs/>
      <w:sz w:val="28"/>
      <w:szCs w:val="28"/>
      <w:lang w:val="ru-RU" w:eastAsia="ru-RU" w:bidi="ar-SA"/>
    </w:rPr>
  </w:style>
  <w:style w:type="paragraph" w:styleId="17">
    <w:name w:val="List Paragraph"/>
    <w:qFormat/>
    <w:uiPriority w:val="0"/>
    <w:rPr>
      <w:rFonts w:ascii="Times New Roman" w:hAnsi="Times New Roman" w:eastAsia="Times New Roman" w:cs="Times New Roman"/>
      <w:sz w:val="28"/>
      <w:szCs w:val="28"/>
      <w:lang w:val="ru-RU" w:eastAsia="ru-RU" w:bidi="ar-SA"/>
    </w:rPr>
  </w:style>
  <w:style w:type="character" w:customStyle="1" w:styleId="18">
    <w:name w:val="Текст сноски Знак"/>
    <w:link w:val="13"/>
    <w:semiHidden/>
    <w:unhideWhenUsed/>
    <w:qFormat/>
    <w:uiPriority w:val="99"/>
    <w:rPr>
      <w:sz w:val="20"/>
      <w:szCs w:val="20"/>
    </w:rPr>
  </w:style>
  <w:style w:type="character" w:customStyle="1" w:styleId="19">
    <w:name w:val="Текст концевой сноски Знак"/>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8</Pages>
  <Words>1649</Words>
  <Characters>12181</Characters>
  <Lines>107</Lines>
  <Paragraphs>30</Paragraphs>
  <TotalTime>1</TotalTime>
  <ScaleCrop>false</ScaleCrop>
  <LinksUpToDate>false</LinksUpToDate>
  <CharactersWithSpaces>13802</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2026-07-28T12:10:00Z</dcterms:created>
  <dc:creator>Un-named</dc:creator>
  <cp:lastModifiedBy>Александра Макурина</cp:lastModifiedBy>
  <dcterms:modified xsi:type="dcterms:W3CDTF">2026-07-29T06:26:28Z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74CCA8F5BD3B4D86BF8688BE49FD80DA_13</vt:lpwstr>
  </property>
</Properties>
</file>