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3F128">
      <w:pPr>
        <w:ind w:left="6096" w:firstLine="0"/>
        <w:jc w:val="left"/>
        <w:rPr>
          <w:i/>
          <w:iCs/>
          <w:lang w:val="uk-UA"/>
        </w:rPr>
      </w:pPr>
      <w:bookmarkStart w:id="0" w:name="_GoBack"/>
      <w:bookmarkEnd w:id="0"/>
      <w:r>
        <w:rPr>
          <w:i/>
          <w:iCs/>
          <w:lang w:val="uk-UA"/>
        </w:rPr>
        <w:t>Голові разової СВР із захисту</w:t>
      </w:r>
    </w:p>
    <w:p w14:paraId="10C78F1C">
      <w:pPr>
        <w:ind w:left="6096" w:firstLine="0"/>
        <w:jc w:val="left"/>
        <w:rPr>
          <w:i/>
          <w:iCs/>
          <w:lang w:val="uk-UA"/>
        </w:rPr>
      </w:pPr>
      <w:r>
        <w:rPr>
          <w:i/>
          <w:iCs/>
          <w:lang w:val="uk-UA"/>
        </w:rPr>
        <w:t>дисертації Пілюгіна Є.Д.</w:t>
      </w:r>
    </w:p>
    <w:p w14:paraId="52C9D726">
      <w:pPr>
        <w:ind w:left="6096" w:firstLine="0"/>
        <w:jc w:val="left"/>
        <w:rPr>
          <w:i/>
          <w:iCs/>
          <w:lang w:val="uk-UA"/>
        </w:rPr>
      </w:pPr>
      <w:r>
        <w:rPr>
          <w:i/>
          <w:iCs/>
          <w:lang w:val="uk-UA"/>
        </w:rPr>
        <w:t>проф. Колосову Д.Л.</w:t>
      </w:r>
    </w:p>
    <w:p w14:paraId="244FAC91">
      <w:pPr>
        <w:ind w:left="6096" w:firstLine="0"/>
        <w:jc w:val="left"/>
        <w:rPr>
          <w:i/>
          <w:iCs/>
          <w:lang w:val="uk-UA"/>
        </w:rPr>
      </w:pPr>
      <w:r>
        <w:rPr>
          <w:i/>
          <w:iCs/>
          <w:lang w:val="uk-UA"/>
        </w:rPr>
        <w:t>рецензента</w:t>
      </w:r>
    </w:p>
    <w:p w14:paraId="1F9BEF66">
      <w:pPr>
        <w:ind w:left="6096" w:firstLine="0"/>
        <w:jc w:val="left"/>
        <w:rPr>
          <w:b/>
          <w:i/>
          <w:iCs/>
          <w:lang w:val="uk-UA"/>
        </w:rPr>
      </w:pPr>
      <w:r>
        <w:rPr>
          <w:i/>
          <w:iCs/>
          <w:lang w:val="uk-UA"/>
        </w:rPr>
        <w:t>доц. Слупської Ю.С.</w:t>
      </w:r>
    </w:p>
    <w:p w14:paraId="3C3BE2CA">
      <w:pPr>
        <w:ind w:firstLine="0"/>
        <w:jc w:val="center"/>
        <w:rPr>
          <w:b/>
          <w:lang w:val="uk-UA"/>
        </w:rPr>
      </w:pPr>
    </w:p>
    <w:p w14:paraId="607824D7">
      <w:pPr>
        <w:ind w:firstLine="0"/>
        <w:jc w:val="center"/>
        <w:rPr>
          <w:lang w:val="uk-UA"/>
        </w:rPr>
      </w:pPr>
      <w:r>
        <w:rPr>
          <w:b/>
          <w:lang w:val="uk-UA"/>
        </w:rPr>
        <w:t>ВІДГУК</w:t>
      </w:r>
    </w:p>
    <w:p w14:paraId="7C2A348D">
      <w:pPr>
        <w:spacing w:after="240"/>
        <w:ind w:firstLine="0"/>
        <w:rPr>
          <w:lang w:val="uk-UA"/>
        </w:rPr>
      </w:pPr>
      <w:r>
        <w:rPr>
          <w:b/>
          <w:bCs/>
          <w:lang w:val="uk-UA"/>
        </w:rPr>
        <w:t>рецензента</w:t>
      </w:r>
      <w:r>
        <w:rPr>
          <w:lang w:val="uk-UA"/>
        </w:rPr>
        <w:t xml:space="preserve">, доктора філософії, доцента кафедри механічної та біомедичної інженерії Національного технічного університету «Дніпровська політехніка» </w:t>
      </w:r>
      <w:r>
        <w:rPr>
          <w:b/>
          <w:bCs/>
          <w:lang w:val="uk-UA"/>
        </w:rPr>
        <w:t>Слупської Юлії Сергіївни</w:t>
      </w:r>
      <w:r>
        <w:rPr>
          <w:lang w:val="uk-UA"/>
        </w:rPr>
        <w:t xml:space="preserve"> на дисертаційну роботу </w:t>
      </w:r>
      <w:r>
        <w:rPr>
          <w:b/>
          <w:bCs/>
          <w:lang w:val="uk-UA"/>
        </w:rPr>
        <w:t>Пілюгіна Євгенія Дмитровича</w:t>
      </w:r>
      <w:r>
        <w:rPr>
          <w:lang w:val="uk-UA"/>
        </w:rPr>
        <w:t xml:space="preserve"> «Вплив структуроутворення міжфазних границь скловолоконних армуючих елементів на механічні та експлуатаційні властивості композитних будівельних конструкцій», поданої на здобуття ступеня доктора філософії з галузі знань 13 Механічна інженерія за спеціальністю 132 «Матеріалознавство»</w:t>
      </w:r>
    </w:p>
    <w:p w14:paraId="1212BA23">
      <w:pPr>
        <w:rPr>
          <w:lang w:val="uk-UA"/>
        </w:rPr>
      </w:pPr>
      <w:r>
        <w:rPr>
          <w:b/>
          <w:lang w:val="uk-UA"/>
        </w:rPr>
        <w:t xml:space="preserve">Загальна характеристика дисертаційної роботи. </w:t>
      </w:r>
      <w:r>
        <w:rPr>
          <w:lang w:val="uk-UA"/>
        </w:rPr>
        <w:t>До розгляду подано дисертаційну роботу на здобуття ступеня доктора філософії, а також копії опублікованих здобувачем наукових праць, що відображають зміст і результати дослідження.</w:t>
      </w:r>
    </w:p>
    <w:p w14:paraId="737B9C04">
      <w:pPr>
        <w:rPr>
          <w:lang w:val="uk-UA"/>
        </w:rPr>
      </w:pPr>
      <w:r>
        <w:rPr>
          <w:lang w:val="uk-UA"/>
        </w:rPr>
        <w:t>Дисертація складається зі вступу, чотирьох розділів, висновків, списку використаних джерел та додатків. Загальний обсяг роботи становить 170 сторінок, з яких 48 рисунків та 14 таблиць. Список використаних джерел налічує 112 найменувань і розміщений на 12 сторінках.</w:t>
      </w:r>
    </w:p>
    <w:p w14:paraId="681D3458">
      <w:pPr>
        <w:rPr>
          <w:lang w:val="uk-UA"/>
        </w:rPr>
      </w:pPr>
      <w:r>
        <w:rPr>
          <w:lang w:val="uk-UA"/>
        </w:rPr>
        <w:t>Наукові керівники - доктор технічних наук, професор Лаухін Д.В. та кандидат технічних наук, доцент Федоряченко С.О. Тему дисертаційної роботи затверджено на засіданні Вченої ради Національного технічного університету «Дніпровська політехніка» (протокол № 15 від 24 вересня 2025 року).</w:t>
      </w:r>
    </w:p>
    <w:p w14:paraId="436E0D94">
      <w:pPr>
        <w:rPr>
          <w:lang w:val="uk-UA"/>
        </w:rPr>
      </w:pPr>
      <w:r>
        <w:rPr>
          <w:lang w:val="uk-UA"/>
        </w:rPr>
        <w:t>Робота виконана в чіткій логічній послідовності відповідно до поставлених мети та завдань дослідження, викладена науковим стилем із використанням загальноприйнятої термінології.</w:t>
      </w:r>
    </w:p>
    <w:p w14:paraId="0CC6790C">
      <w:pPr>
        <w:rPr>
          <w:lang w:val="uk-UA"/>
        </w:rPr>
      </w:pPr>
      <w:r>
        <w:rPr>
          <w:b/>
          <w:lang w:val="uk-UA"/>
        </w:rPr>
        <w:t xml:space="preserve">Актуальність напряму дослідження. </w:t>
      </w:r>
      <w:r>
        <w:rPr>
          <w:lang w:val="uk-UA"/>
        </w:rPr>
        <w:t>Проблема довговічності бетонних конструкцій, армованих сталевими стержнями, безпосередньо пов’язана з корозійним руйнуванням армування, що скорочує ресурс споруд і зумовлює високі експлуатаційні витрати. Заміна сталевого армування композитним склопластиковим є одним із найперспективніших напрямів вирішення цієї проблеми.</w:t>
      </w:r>
    </w:p>
    <w:p w14:paraId="351E6EB1">
      <w:pPr>
        <w:rPr>
          <w:lang w:val="uk-UA"/>
        </w:rPr>
      </w:pPr>
      <w:r>
        <w:rPr>
          <w:lang w:val="uk-UA"/>
        </w:rPr>
        <w:t>Проте перехід до композитного армування стримується недостатньою вивченістю поведінки таких матеріалів у термомеханічному полі. На відміну від сталі, експлуатаційні характеристики скловолоконної (GFRP) арматури визначаються не одним матеріалом, а системою «волокно - матриця - міжфазна границя», причому найуразливішою ланкою цієї системи є саме полімерне сполучне та адгезійний шар. Кількісні дані про поведінку цієї системи при підвищених температурах, необхідні для нормування, у вітчизняній практиці фактично відсутні.</w:t>
      </w:r>
    </w:p>
    <w:p w14:paraId="6B895204">
      <w:pPr>
        <w:rPr>
          <w:lang w:val="uk-UA"/>
        </w:rPr>
      </w:pPr>
      <w:r>
        <w:rPr>
          <w:lang w:val="uk-UA"/>
        </w:rPr>
        <w:t>Вибір теми дисертаційного дослідження Пілюгіна Є.Д. вважаю обґрунтованим і актуальним, а поставлені завдання - такими, що відповідають сучасному стану прикладної задачі.</w:t>
      </w:r>
    </w:p>
    <w:p w14:paraId="70FD033A">
      <w:pPr>
        <w:rPr>
          <w:lang w:val="uk-UA"/>
        </w:rPr>
      </w:pPr>
      <w:r>
        <w:rPr>
          <w:b/>
          <w:lang w:val="uk-UA"/>
        </w:rPr>
        <w:t xml:space="preserve">Наукова новизна одержаних результатів. </w:t>
      </w:r>
      <w:r>
        <w:rPr>
          <w:lang w:val="uk-UA"/>
        </w:rPr>
        <w:t>До наукових результатів роботи належать такі положення:</w:t>
      </w:r>
    </w:p>
    <w:p w14:paraId="3571AF06">
      <w:pPr>
        <w:pStyle w:val="143"/>
        <w:numPr>
          <w:ilvl w:val="0"/>
          <w:numId w:val="7"/>
        </w:numPr>
        <w:ind w:left="0" w:firstLine="709"/>
        <w:rPr>
          <w:lang w:val="uk-UA"/>
        </w:rPr>
      </w:pPr>
      <w:r>
        <w:rPr>
          <w:lang w:val="uk-UA"/>
        </w:rPr>
        <w:t>Вперше проведено комплексне порівняльне дослідження еволюції мікроструктури сталевої арматури А500С і скловолоконної арматури при нагріванні за стандартною кривою ISO 834 та встановлено принципово відмінні механізми термічної деградації двох типів армування.</w:t>
      </w:r>
    </w:p>
    <w:p w14:paraId="655442D5">
      <w:pPr>
        <w:pStyle w:val="143"/>
        <w:numPr>
          <w:ilvl w:val="0"/>
          <w:numId w:val="7"/>
        </w:numPr>
        <w:ind w:left="0" w:firstLine="709"/>
        <w:rPr>
          <w:lang w:val="uk-UA"/>
        </w:rPr>
      </w:pPr>
      <w:r>
        <w:rPr>
          <w:lang w:val="uk-UA"/>
        </w:rPr>
        <w:t>Набули подальшого розвитку аналітичні моделі термомеханічної деградації властивостей скловолоконної арматури шляхом поєднання експоненційної функції зниження модуля пружності E(T) = E₀·exp(−α(T−T₀)) з узагальненим конститутивним рівнянням, що враховує одночасний вплив температури, об’ємного вмісту волокон та циклічного навантаження; встановлено залежність параметра деградації α від типу матриці та температури склування Tg, а також критичний поріг інтенсивного зниження жорсткості                 T = 0,8-1,0·Tg.</w:t>
      </w:r>
    </w:p>
    <w:p w14:paraId="6C94D46C">
      <w:pPr>
        <w:pStyle w:val="143"/>
        <w:numPr>
          <w:ilvl w:val="0"/>
          <w:numId w:val="7"/>
        </w:numPr>
        <w:ind w:left="0" w:firstLine="709"/>
        <w:rPr>
          <w:lang w:val="uk-UA"/>
        </w:rPr>
      </w:pPr>
      <w:r>
        <w:rPr>
          <w:lang w:val="uk-UA"/>
        </w:rPr>
        <w:t>Вперше на основі RVE-моделювання в ANSYS Material Designer визначено ефективні інженерні константи (E, G, ν, коефіцієнти теплового розширення, теплопровідність) для дев’яти комбінацій скловолокно/матриця при змінному об’ємному вмісті волокон та температурах 20-230 °C.</w:t>
      </w:r>
    </w:p>
    <w:p w14:paraId="24A6146B">
      <w:pPr>
        <w:pStyle w:val="143"/>
        <w:numPr>
          <w:ilvl w:val="0"/>
          <w:numId w:val="7"/>
        </w:numPr>
        <w:ind w:left="0" w:firstLine="709"/>
        <w:rPr>
          <w:lang w:val="uk-UA"/>
        </w:rPr>
      </w:pPr>
      <w:r>
        <w:rPr>
          <w:lang w:val="uk-UA"/>
        </w:rPr>
        <w:t>Набуло подальшого розвитку встановлення діапазонів раціонального об’ємного вмісту волокон за критерієм мінімального розузгодження коефіцієнтів теплового розширення арматури та бетонної матриці.</w:t>
      </w:r>
    </w:p>
    <w:p w14:paraId="126A16FA">
      <w:pPr>
        <w:pStyle w:val="143"/>
        <w:numPr>
          <w:ilvl w:val="0"/>
          <w:numId w:val="7"/>
        </w:numPr>
        <w:ind w:left="0" w:firstLine="709"/>
        <w:rPr>
          <w:lang w:val="uk-UA"/>
        </w:rPr>
      </w:pPr>
      <w:r>
        <w:rPr>
          <w:lang w:val="uk-UA"/>
        </w:rPr>
        <w:t>Вперше методами скануючої електронної мікроскопії та EDX-аналізу кількісно охарактеризовано розподіл хімічних елементів на міжфазних границях волокно–матриця у трьох станах та встановлено зв’язок між карбонізацією полімерного сполучного і руйнуванням адгезійного шару як визначальним механізмом втрати механічних властивостей композиту при пожежному навантаженні.</w:t>
      </w:r>
    </w:p>
    <w:p w14:paraId="23C872BC">
      <w:pPr>
        <w:rPr>
          <w:lang w:val="uk-UA"/>
        </w:rPr>
      </w:pPr>
      <w:r>
        <w:rPr>
          <w:b/>
          <w:lang w:val="uk-UA"/>
        </w:rPr>
        <w:t xml:space="preserve">Обґрунтованість і достовірність результатів. </w:t>
      </w:r>
      <w:r>
        <w:rPr>
          <w:lang w:val="uk-UA"/>
        </w:rPr>
        <w:t>Достовірність одержаних результатів забезпечено застосуванням сучасних методів і засобів дослідження, а також узгодженістю даних, отриманих незалежними методами.</w:t>
      </w:r>
    </w:p>
    <w:p w14:paraId="5BE66293">
      <w:pPr>
        <w:rPr>
          <w:lang w:val="uk-UA"/>
        </w:rPr>
      </w:pPr>
      <w:r>
        <w:rPr>
          <w:lang w:val="uk-UA"/>
        </w:rPr>
        <w:t>Методичною основою чисельної частини роботи є моделювання представницького об’єму (RVE) в середовищі ANSYS Material Designer. Побудовано дев’ять моделей за трьома типами волокна (E-, AR- та S-скло) і трьома типами полімерної матриці (вінілестерна, бензоксазинова та епоксидна). Модель являє собою тривимірний кубічний елемент з волокнами, паралельними осі Z; варіювалися об’ємна частка волокна та температура в діапазоні 20-230 °C. Такий підхід дозволяє отримати повний набір інженерних констант (E₁, E₂, G₁₂, G₂₃, ν₁₂, ν₂₃, α₁, α₂, λ₁, λ₂), що є коректним і сучасним інструментом для аналізу односпрямованих композитів.</w:t>
      </w:r>
    </w:p>
    <w:p w14:paraId="306077CC">
      <w:pPr>
        <w:rPr>
          <w:lang w:val="uk-UA"/>
        </w:rPr>
      </w:pPr>
      <w:r>
        <w:rPr>
          <w:lang w:val="uk-UA"/>
        </w:rPr>
        <w:t>Моделювання температурного поля та термомеханічної поведінки конструкцій виконано в ANSYS Workbench із послідовним поєднанням модулів Steady-State Thermal та Static Structural, що є методично виправданим для задач такого класу.</w:t>
      </w:r>
    </w:p>
    <w:p w14:paraId="7FE09124">
      <w:pPr>
        <w:rPr>
          <w:lang w:val="uk-UA"/>
        </w:rPr>
      </w:pPr>
      <w:r>
        <w:rPr>
          <w:lang w:val="uk-UA"/>
        </w:rPr>
        <w:t>Результати чисельного аналізу зіставлено з даними натурних випробувань кубічних зразків бетону класу В30 розміром 100×100×100 мм трьох серій, а структурні висновки підтверджено незалежними методами - оптичною металографією, растровою електронною мікроскопією та EDX-аналізом. Узгодженість результатів, отриманих різними методами, є вагомим аргументом на користь достовірності сформульованих положень.</w:t>
      </w:r>
    </w:p>
    <w:p w14:paraId="0CBBAA90">
      <w:pPr>
        <w:rPr>
          <w:lang w:val="uk-UA"/>
        </w:rPr>
      </w:pPr>
      <w:r>
        <w:rPr>
          <w:b/>
          <w:lang w:val="uk-UA"/>
        </w:rPr>
        <w:t xml:space="preserve">Практична цінність та реалізація результатів. </w:t>
      </w:r>
      <w:r>
        <w:rPr>
          <w:lang w:val="uk-UA"/>
        </w:rPr>
        <w:t>Практична цінність роботи визначається можливістю безпосереднього використання її результатів у проектній практиці.</w:t>
      </w:r>
    </w:p>
    <w:p w14:paraId="168B0B37">
      <w:pPr>
        <w:rPr>
          <w:lang w:val="uk-UA"/>
        </w:rPr>
      </w:pPr>
      <w:r>
        <w:rPr>
          <w:lang w:val="uk-UA"/>
        </w:rPr>
        <w:t>Сформована порівняльна база даних фізико-механічних властивостей сталевої арматури А500С та дев’яти варіантів скловолоконної арматури дозволяє проектувальникам обґрунтовано обирати тип армування залежно від умов експлуатації. Встановлені критичні температурні межі деградації скловолоконної арматури (Tg ≈ 120 °C - початок розм’якшення матриці; 200-250 °C - критичне зниження несучої здатності) дають підстави для обґрунтованого призначення товщини захисного бетонного шару та засобів вогнезахисту.</w:t>
      </w:r>
    </w:p>
    <w:p w14:paraId="6F39F998">
      <w:pPr>
        <w:rPr>
          <w:lang w:val="uk-UA"/>
        </w:rPr>
      </w:pPr>
      <w:r>
        <w:rPr>
          <w:lang w:val="uk-UA"/>
        </w:rPr>
        <w:t>Окремо слід відзначити практичну значущість верифікованих скінченноелементних моделей, застосування яких дозволяє виконувати чисельну оцінку вогнестійкості залізобетонних елементів без проведення повномасштабних вогневих випробувань, що суттєво здешевлює процедуру обґрунтування проектних рішень.</w:t>
      </w:r>
    </w:p>
    <w:p w14:paraId="1E293A66">
      <w:pPr>
        <w:rPr>
          <w:lang w:val="uk-UA"/>
        </w:rPr>
      </w:pPr>
      <w:r>
        <w:rPr>
          <w:lang w:val="uk-UA"/>
        </w:rPr>
        <w:t>Практичні рекомендації роботи є конкретними: застосування комбінації AR-скло/бензоксазин з об’ємним вмістом волокон 20-25 %; забезпечення захисного шару бетону товщиною не менше 30 мм для конструкцій з підвищеними вимогами до вогнестійкості; урахування критичного температурного порогу деградації GFRP-арматури на рівні 0,8·Tg матриці при нормуванні розрахунків вогнестійкості.</w:t>
      </w:r>
    </w:p>
    <w:p w14:paraId="2EB23066">
      <w:pPr>
        <w:rPr>
          <w:lang w:val="uk-UA"/>
        </w:rPr>
      </w:pPr>
      <w:r>
        <w:rPr>
          <w:lang w:val="uk-UA"/>
        </w:rPr>
        <w:t>Результати дисертаційного дослідження впроваджено у виробничу діяльність ТОВ «Сінерджі Ер Енд Ді», а також в освітній процес Національного технічного університету «Дніпровська політехніка» - при оновленні освітньо-наукової програми підготовки докторів філософії за спеціальністю 132 «Матеріалознавство» та у трьох навчально-методичних розробках для підготовки здобувачів ступеня магістра і бакалавра.</w:t>
      </w:r>
    </w:p>
    <w:p w14:paraId="04F78EA0">
      <w:pPr>
        <w:rPr>
          <w:lang w:val="uk-UA"/>
        </w:rPr>
      </w:pPr>
      <w:r>
        <w:rPr>
          <w:lang w:val="uk-UA"/>
        </w:rPr>
        <w:t>За результатами дослідження опубліковано 9 наукових праць: 4 статті у наукових фахових виданнях України категорії Б та 5 тез доповідей на міжнародних науково-технічних конференціях. Результати пройшли апробацію на п’яти наукових конференціях. Обсяг і зміст публікацій забезпечують повноту викладення основних положень дисертації.</w:t>
      </w:r>
    </w:p>
    <w:p w14:paraId="2827543D">
      <w:pPr>
        <w:rPr>
          <w:lang w:val="uk-UA"/>
        </w:rPr>
      </w:pPr>
      <w:r>
        <w:rPr>
          <w:lang w:val="uk-UA"/>
        </w:rPr>
        <w:t xml:space="preserve">За результатами перевірки дисертаційної роботи на платформі </w:t>
      </w:r>
      <w:r>
        <w:rPr>
          <w:rStyle w:val="33"/>
          <w:b w:val="0"/>
          <w:bCs w:val="0"/>
          <w:lang w:val="uk-UA"/>
        </w:rPr>
        <w:t>Plag.ua</w:t>
      </w:r>
      <w:r>
        <w:rPr>
          <w:lang w:val="uk-UA"/>
        </w:rPr>
        <w:t xml:space="preserve"> (показник подібності - </w:t>
      </w:r>
      <w:r>
        <w:rPr>
          <w:rStyle w:val="33"/>
          <w:b w:val="0"/>
          <w:bCs w:val="0"/>
          <w:lang w:val="uk-UA"/>
        </w:rPr>
        <w:t>13 %</w:t>
      </w:r>
      <w:r>
        <w:rPr>
          <w:lang w:val="uk-UA"/>
        </w:rPr>
        <w:t>), порушень академічної доброчесності не виявлено; запозичення супроводжуються посиланнями на відповідні джерела.</w:t>
      </w:r>
    </w:p>
    <w:p w14:paraId="6C872683">
      <w:pPr>
        <w:rPr>
          <w:b/>
          <w:lang w:val="uk-UA"/>
        </w:rPr>
      </w:pPr>
      <w:r>
        <w:rPr>
          <w:b/>
          <w:lang w:val="uk-UA"/>
        </w:rPr>
        <w:t xml:space="preserve">Зауваження, коментарі та дискусійні положення щодо змісту дисертації. </w:t>
      </w:r>
      <w:r>
        <w:rPr>
          <w:lang w:val="uk-UA"/>
        </w:rPr>
        <w:t>За загального позитивного враження від роботи вважаю за доцільне висловити такі зауваження.</w:t>
      </w:r>
    </w:p>
    <w:p w14:paraId="6022A62F">
      <w:pPr>
        <w:rPr>
          <w:lang w:val="uk-UA"/>
        </w:rPr>
      </w:pPr>
      <w:r>
        <w:rPr>
          <w:lang w:val="uk-UA"/>
        </w:rPr>
        <w:t>1. У роботі для чисельного моделювання використано кілька програмних продуктів комплексу ANSYS (Material Designer, Workbench, Steady-State Thermal, Static Structural), проте не наведено обґрунтування вибору саме цих інструментів порівняно з іншими доступними програмними засобами скінченноелементного аналізу.</w:t>
      </w:r>
    </w:p>
    <w:p w14:paraId="4D275815">
      <w:pPr>
        <w:rPr>
          <w:lang w:val="uk-UA"/>
        </w:rPr>
      </w:pPr>
      <w:r>
        <w:rPr>
          <w:lang w:val="uk-UA"/>
        </w:rPr>
        <w:t>2. У другому розділі детально описано методики випробувань, однак не зазначено кількості повторних вимірювань для окремих видів досліджень, що ускладнює оцінку відтворюваності результатів.</w:t>
      </w:r>
    </w:p>
    <w:p w14:paraId="4FF581D1">
      <w:pPr>
        <w:rPr>
          <w:lang w:val="uk-UA"/>
        </w:rPr>
      </w:pPr>
      <w:r>
        <w:rPr>
          <w:lang w:val="uk-UA"/>
        </w:rPr>
        <w:t>3. Результати експериментальних випробувань на статичний стиск (таблиця 4.3) подано у вигляді середніх значень міцності; для наочності доцільно було доповнити їх графічним поданням - діаграмами «навантаження-деформація» для характерних зразків.</w:t>
      </w:r>
    </w:p>
    <w:p w14:paraId="2E354E25">
      <w:pPr>
        <w:rPr>
          <w:lang w:val="uk-UA"/>
        </w:rPr>
      </w:pPr>
      <w:r>
        <w:rPr>
          <w:lang w:val="uk-UA"/>
        </w:rPr>
        <w:t>4. У практичних рекомендаціях запропоновано конкретну комбінацію матеріалів (AR-скло/бензоксазин) з урахуванням товщини захисного шару бетону, проте не наведено орієнтовної економічної оцінки доцільності застосування композитного армування порівняно зі сталевим.</w:t>
      </w:r>
    </w:p>
    <w:p w14:paraId="27F39E3A">
      <w:pPr>
        <w:rPr>
          <w:lang w:val="uk-UA"/>
        </w:rPr>
      </w:pPr>
      <w:r>
        <w:rPr>
          <w:lang w:val="uk-UA"/>
        </w:rPr>
        <w:t>Наведені зауваження не мають принципового характеру, не ставлять під сумнів достовірність одержаних результатів і не знижують загальної позитивної оцінки дисертаційної роботи.</w:t>
      </w:r>
    </w:p>
    <w:p w14:paraId="3E49C4E4">
      <w:pPr>
        <w:rPr>
          <w:lang w:val="uk-UA"/>
        </w:rPr>
      </w:pPr>
      <w:r>
        <w:rPr>
          <w:b/>
          <w:lang w:val="uk-UA"/>
        </w:rPr>
        <w:t xml:space="preserve">Висновок про відповідність дисертації встановленим вимогам. </w:t>
      </w:r>
      <w:r>
        <w:rPr>
          <w:lang w:val="uk-UA"/>
        </w:rPr>
        <w:t>Дисертаційна робота Пілюгіна Євгенія Дмитровича є завершеним самостійним науковим дослідженням, у якому вирішено актуальне науково-прикладне завдання обґрунтування можливості застосування скловолоконної арматури в бетонних конструкціях на основі встановлення взаємозв’язку між структуроутворенням міжфазних границь волокно - матриця, елементним складом компонентів та комплексом механічних і експлуатаційних властивостей армованих конструкцій в умовах термомеханічного навантаження.</w:t>
      </w:r>
    </w:p>
    <w:p w14:paraId="2F132197">
      <w:pPr>
        <w:rPr>
          <w:lang w:val="uk-UA"/>
        </w:rPr>
      </w:pPr>
      <w:r>
        <w:rPr>
          <w:lang w:val="uk-UA"/>
        </w:rPr>
        <w:t>За актуальністю, рівнем наукової новизни, обґрунтованістю та практичною цінністю одержаних результатів робота відповідає вимогам наказу Міністерства освіти і науки України № 40 від 12.01.2017 р. «Про затвердження вимог до оформлення дисертації» (зі змінами) та пп. 6, 7, 8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 № 44.</w:t>
      </w:r>
    </w:p>
    <w:p w14:paraId="0BFC71A1">
      <w:pPr>
        <w:rPr>
          <w:lang w:val="uk-UA"/>
        </w:rPr>
      </w:pPr>
      <w:r>
        <w:rPr>
          <w:lang w:val="uk-UA"/>
        </w:rPr>
        <w:t>Автор дисертаційної роботи Пілюгін Євгеній Дмитрович заслуговує на присудження ступеня доктора філософії з галузі знань 13 «Механічна інженерія» за спеціальністю 132 «Матеріалознавство».</w:t>
      </w:r>
    </w:p>
    <w:p w14:paraId="6E9FE3CF">
      <w:pPr>
        <w:spacing w:after="120"/>
        <w:ind w:firstLine="0"/>
        <w:rPr>
          <w:lang w:val="uk-UA"/>
        </w:rPr>
      </w:pPr>
    </w:p>
    <w:p w14:paraId="06F3707E">
      <w:pPr>
        <w:ind w:firstLine="0"/>
        <w:jc w:val="left"/>
        <w:rPr>
          <w:b/>
          <w:bCs/>
          <w:lang w:val="uk-UA"/>
        </w:rPr>
      </w:pPr>
      <w:r>
        <w:rPr>
          <w:b/>
          <w:bCs/>
          <w:lang w:val="uk-UA"/>
        </w:rPr>
        <w:t>Рецензент:</w:t>
      </w:r>
    </w:p>
    <w:p w14:paraId="442F41A7">
      <w:pPr>
        <w:ind w:firstLine="0"/>
        <w:jc w:val="left"/>
        <w:rPr>
          <w:lang w:val="uk-UA"/>
        </w:rPr>
      </w:pPr>
      <w:r>
        <w:rPr>
          <w:lang w:val="uk-UA"/>
        </w:rPr>
        <w:t>Доктор філософії, доцент</w:t>
      </w:r>
    </w:p>
    <w:p w14:paraId="63F68021">
      <w:pPr>
        <w:ind w:firstLine="0"/>
        <w:jc w:val="left"/>
        <w:rPr>
          <w:lang w:val="uk-UA"/>
        </w:rPr>
      </w:pPr>
      <w:r>
        <w:rPr>
          <w:lang w:val="uk-UA"/>
        </w:rPr>
        <w:t>кафедри механічної та біомедичної інженерії</w:t>
      </w:r>
    </w:p>
    <w:p w14:paraId="029E5160">
      <w:pPr>
        <w:ind w:firstLine="0"/>
        <w:jc w:val="left"/>
        <w:rPr>
          <w:lang w:val="uk-UA"/>
        </w:rPr>
      </w:pPr>
      <w:r>
        <w:rPr>
          <w:lang w:val="uk-UA"/>
        </w:rPr>
        <w:t>Національного технічного університету</w:t>
      </w:r>
    </w:p>
    <w:p w14:paraId="0EA48C1F">
      <w:pPr>
        <w:ind w:firstLine="0"/>
        <w:jc w:val="left"/>
        <w:rPr>
          <w:lang w:val="uk-UA"/>
        </w:rPr>
      </w:pPr>
      <w:r>
        <w:rPr>
          <w:lang w:val="uk-UA"/>
        </w:rPr>
        <w:t>«Дніпровська політехніка»</w:t>
      </w:r>
    </w:p>
    <w:p w14:paraId="59A0363D">
      <w:pPr>
        <w:spacing w:after="120"/>
        <w:ind w:firstLine="0"/>
        <w:rPr>
          <w:lang w:val="uk-UA"/>
        </w:rPr>
      </w:pPr>
    </w:p>
    <w:p w14:paraId="724D9CBF">
      <w:pPr>
        <w:ind w:firstLine="720"/>
        <w:jc w:val="left"/>
      </w:pPr>
      <w:r>
        <w:rPr>
          <w:lang w:val="uk-UA"/>
        </w:rPr>
        <w:t>_______________</w:t>
      </w:r>
      <w:r>
        <w:rPr>
          <w:lang w:val="uk-UA"/>
        </w:rPr>
        <w:tab/>
      </w:r>
      <w:r>
        <w:rPr>
          <w:lang w:val="uk-UA"/>
        </w:rPr>
        <w:tab/>
      </w:r>
      <w:r>
        <w:rPr>
          <w:lang w:val="uk-UA"/>
        </w:rPr>
        <w:tab/>
      </w:r>
      <w:r>
        <w:rPr>
          <w:lang w:val="uk-UA"/>
        </w:rPr>
        <w:tab/>
      </w:r>
      <w:r>
        <w:rPr>
          <w:lang w:val="uk-UA"/>
        </w:rPr>
        <w:tab/>
      </w:r>
      <w:r>
        <w:tab/>
      </w:r>
      <w:r>
        <w:tab/>
      </w:r>
      <w:r>
        <w:rPr>
          <w:b/>
        </w:rPr>
        <w:t>Юлія СЛУПСЬКА</w:t>
      </w:r>
    </w:p>
    <w:sectPr>
      <w:pgSz w:w="12240" w:h="15840"/>
      <w:pgMar w:top="1134" w:right="850"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3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abstractNum w:abstractNumId="6">
    <w:nsid w:val="4C7E4AAB"/>
    <w:multiLevelType w:val="multilevel"/>
    <w:tmpl w:val="4C7E4AAB"/>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5953"/>
    <w:rsid w:val="00034616"/>
    <w:rsid w:val="0006063C"/>
    <w:rsid w:val="000F6DEE"/>
    <w:rsid w:val="0015074B"/>
    <w:rsid w:val="00175941"/>
    <w:rsid w:val="001B0602"/>
    <w:rsid w:val="001D2728"/>
    <w:rsid w:val="00271A56"/>
    <w:rsid w:val="00274946"/>
    <w:rsid w:val="0029639D"/>
    <w:rsid w:val="00326F90"/>
    <w:rsid w:val="00505612"/>
    <w:rsid w:val="0058673B"/>
    <w:rsid w:val="005C3C51"/>
    <w:rsid w:val="005D0D23"/>
    <w:rsid w:val="006A5BA5"/>
    <w:rsid w:val="00824B01"/>
    <w:rsid w:val="008329A2"/>
    <w:rsid w:val="00AA1D8D"/>
    <w:rsid w:val="00B47730"/>
    <w:rsid w:val="00C1555E"/>
    <w:rsid w:val="00C34867"/>
    <w:rsid w:val="00CB0664"/>
    <w:rsid w:val="00DA64DA"/>
    <w:rsid w:val="00EB22CE"/>
    <w:rsid w:val="00F91DC9"/>
    <w:rsid w:val="00FC693F"/>
    <w:rsid w:val="1A723F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360" w:lineRule="auto"/>
      <w:ind w:firstLine="709"/>
      <w:jc w:val="both"/>
    </w:pPr>
    <w:rPr>
      <w:rFonts w:ascii="Times New Roman" w:hAnsi="Times New Roman" w:eastAsiaTheme="minorEastAsia" w:cstheme="minorBidi"/>
      <w:sz w:val="28"/>
      <w:szCs w:val="22"/>
      <w:lang w:val="en-US" w:eastAsia="en-US" w:bidi="ar-SA"/>
    </w:rPr>
  </w:style>
  <w:style w:type="paragraph" w:styleId="2">
    <w:name w:val="heading 1"/>
    <w:basedOn w:val="1"/>
    <w:next w:val="1"/>
    <w:link w:val="138"/>
    <w:qFormat/>
    <w:uiPriority w:val="9"/>
    <w:pPr>
      <w:keepNext/>
      <w:keepLines/>
      <w:spacing w:before="480"/>
      <w:outlineLvl w:val="0"/>
    </w:pPr>
    <w:rPr>
      <w:rFonts w:asciiTheme="majorHAnsi" w:hAnsiTheme="majorHAnsi" w:eastAsiaTheme="majorEastAsia" w:cstheme="majorBidi"/>
      <w:b/>
      <w:bCs/>
      <w:color w:val="376092" w:themeColor="accent1" w:themeShade="BF"/>
      <w:szCs w:val="28"/>
    </w:rPr>
  </w:style>
  <w:style w:type="paragraph" w:styleId="3">
    <w:name w:val="heading 2"/>
    <w:basedOn w:val="1"/>
    <w:next w:val="1"/>
    <w:link w:val="13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uiPriority w:val="99"/>
    <w:pPr>
      <w:spacing w:after="120" w:line="480" w:lineRule="auto"/>
    </w:pPr>
  </w:style>
  <w:style w:type="paragraph" w:styleId="15">
    <w:name w:val="Body Text 3"/>
    <w:basedOn w:val="1"/>
    <w:link w:val="146"/>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line="240" w:lineRule="auto"/>
    </w:pPr>
  </w:style>
  <w:style w:type="paragraph" w:styleId="19">
    <w:name w:val="header"/>
    <w:basedOn w:val="1"/>
    <w:link w:val="135"/>
    <w:unhideWhenUsed/>
    <w:uiPriority w:val="99"/>
    <w:pPr>
      <w:tabs>
        <w:tab w:val="center" w:pos="4680"/>
        <w:tab w:val="right" w:pos="9360"/>
      </w:tabs>
      <w:spacing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pPr>
      <w:ind w:firstLine="709"/>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Верхний колонтитул Знак"/>
    <w:basedOn w:val="11"/>
    <w:link w:val="19"/>
    <w:qFormat/>
    <w:uiPriority w:val="99"/>
  </w:style>
  <w:style w:type="character" w:customStyle="1" w:styleId="136">
    <w:name w:val="Нижний колонтитул Знак"/>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Заголовок 1 Знак"/>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Заголовок 2 Знак"/>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Заголовок 3 Знак"/>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Заголовок Знак"/>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Подзаголовок Знак"/>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Основной текст Знак"/>
    <w:basedOn w:val="11"/>
    <w:link w:val="13"/>
    <w:qFormat/>
    <w:uiPriority w:val="99"/>
  </w:style>
  <w:style w:type="character" w:customStyle="1" w:styleId="145">
    <w:name w:val="Основной текст 2 Знак"/>
    <w:basedOn w:val="11"/>
    <w:link w:val="14"/>
    <w:uiPriority w:val="99"/>
  </w:style>
  <w:style w:type="character" w:customStyle="1" w:styleId="146">
    <w:name w:val="Основной текст 3 Знак"/>
    <w:basedOn w:val="11"/>
    <w:link w:val="15"/>
    <w:qFormat/>
    <w:uiPriority w:val="99"/>
    <w:rPr>
      <w:sz w:val="16"/>
      <w:szCs w:val="16"/>
    </w:rPr>
  </w:style>
  <w:style w:type="character" w:customStyle="1" w:styleId="147">
    <w:name w:val="Текст макроса Знак"/>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Цитата 2 Знак"/>
    <w:basedOn w:val="11"/>
    <w:link w:val="148"/>
    <w:qFormat/>
    <w:uiPriority w:val="29"/>
    <w:rPr>
      <w:i/>
      <w:iCs/>
      <w:color w:val="000000" w:themeColor="text1"/>
      <w14:textFill>
        <w14:solidFill>
          <w14:schemeClr w14:val="tx1"/>
        </w14:solidFill>
      </w14:textFill>
    </w:rPr>
  </w:style>
  <w:style w:type="character" w:customStyle="1" w:styleId="150">
    <w:name w:val="Заголовок 4 Знак"/>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Заголовок 5 Знак"/>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Заголовок 6 Знак"/>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Заголовок 7 Знак"/>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Заголовок 8 Знак"/>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Заголовок 9 Знак"/>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Выделенная цитата Знак"/>
    <w:basedOn w:val="11"/>
    <w:link w:val="156"/>
    <w:qFormat/>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1263</Words>
  <Characters>9567</Characters>
  <Lines>76</Lines>
  <Paragraphs>21</Paragraphs>
  <TotalTime>61</TotalTime>
  <ScaleCrop>false</ScaleCrop>
  <LinksUpToDate>false</LinksUpToDate>
  <CharactersWithSpaces>10806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Александра Макурина</cp:lastModifiedBy>
  <dcterms:modified xsi:type="dcterms:W3CDTF">2026-07-29T05:50:50Z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79B0FF0E3469403487043C50E63FF24F_13</vt:lpwstr>
  </property>
</Properties>
</file>