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7D0D4">
      <w:pPr>
        <w:spacing w:line="360" w:lineRule="auto"/>
        <w:ind w:firstLine="720"/>
        <w:jc w:val="center"/>
        <w:rPr>
          <w:b/>
          <w:bCs/>
          <w:color w:val="000000"/>
          <w:sz w:val="28"/>
          <w:szCs w:val="28"/>
          <w:lang w:val="uk-UA" w:eastAsia="uk-UA"/>
        </w:rPr>
      </w:pPr>
      <w:bookmarkStart w:id="0" w:name="_GoBack"/>
      <w:bookmarkEnd w:id="0"/>
      <w:r>
        <w:rPr>
          <w:b/>
          <w:bCs/>
          <w:color w:val="000000"/>
          <w:sz w:val="28"/>
          <w:szCs w:val="28"/>
          <w:lang w:val="uk-UA" w:eastAsia="uk-UA"/>
        </w:rPr>
        <w:t>Відгук</w:t>
      </w:r>
    </w:p>
    <w:p w14:paraId="44EF9345">
      <w:pPr>
        <w:spacing w:line="360" w:lineRule="auto"/>
        <w:ind w:firstLine="720"/>
        <w:jc w:val="center"/>
        <w:rPr>
          <w:b/>
          <w:bCs/>
          <w:color w:val="000000"/>
          <w:sz w:val="28"/>
          <w:szCs w:val="28"/>
          <w:lang w:val="uk-UA" w:eastAsia="uk-UA"/>
        </w:rPr>
      </w:pPr>
      <w:r>
        <w:rPr>
          <w:b/>
          <w:bCs/>
          <w:color w:val="000000"/>
          <w:sz w:val="28"/>
          <w:szCs w:val="28"/>
          <w:lang w:val="uk-UA" w:eastAsia="uk-UA"/>
        </w:rPr>
        <w:t>офіційного опонента кандидата юридичних наук,</w:t>
      </w:r>
    </w:p>
    <w:p w14:paraId="103E4201">
      <w:pPr>
        <w:spacing w:line="360" w:lineRule="auto"/>
        <w:ind w:firstLine="720"/>
        <w:jc w:val="center"/>
        <w:rPr>
          <w:b/>
          <w:bCs/>
          <w:color w:val="000000"/>
          <w:sz w:val="28"/>
          <w:szCs w:val="28"/>
          <w:lang w:val="uk-UA" w:eastAsia="uk-UA"/>
        </w:rPr>
      </w:pPr>
      <w:r>
        <w:rPr>
          <w:b/>
          <w:bCs/>
          <w:color w:val="000000"/>
          <w:sz w:val="28"/>
          <w:szCs w:val="28"/>
          <w:lang w:val="uk-UA" w:eastAsia="uk-UA"/>
        </w:rPr>
        <w:t>доцента Марущак Анни Валеріївни</w:t>
      </w:r>
    </w:p>
    <w:p w14:paraId="5451DBA1">
      <w:pPr>
        <w:spacing w:line="360" w:lineRule="auto"/>
        <w:ind w:firstLine="720"/>
        <w:jc w:val="center"/>
        <w:rPr>
          <w:b/>
          <w:bCs/>
          <w:color w:val="000000"/>
          <w:sz w:val="28"/>
          <w:szCs w:val="28"/>
          <w:lang w:val="uk-UA" w:eastAsia="uk-UA"/>
        </w:rPr>
      </w:pPr>
      <w:r>
        <w:rPr>
          <w:b/>
          <w:bCs/>
          <w:color w:val="000000"/>
          <w:sz w:val="28"/>
          <w:szCs w:val="28"/>
          <w:lang w:val="uk-UA" w:eastAsia="uk-UA"/>
        </w:rPr>
        <w:t>на дисертацію</w:t>
      </w:r>
    </w:p>
    <w:p w14:paraId="681E89AC">
      <w:pPr>
        <w:spacing w:line="360" w:lineRule="auto"/>
        <w:ind w:firstLine="720"/>
        <w:jc w:val="center"/>
        <w:rPr>
          <w:b/>
          <w:sz w:val="28"/>
          <w:szCs w:val="28"/>
          <w:shd w:val="clear" w:color="auto" w:fill="FFFFFF"/>
          <w:lang w:val="uk-UA"/>
        </w:rPr>
      </w:pPr>
      <w:r>
        <w:rPr>
          <w:b/>
          <w:bCs/>
          <w:sz w:val="28"/>
          <w:szCs w:val="28"/>
          <w:lang w:val="uk-UA"/>
        </w:rPr>
        <w:t>Онищенка Владислава Вячеславовича</w:t>
      </w:r>
      <w:r>
        <w:rPr>
          <w:b/>
          <w:sz w:val="28"/>
          <w:szCs w:val="28"/>
          <w:shd w:val="clear" w:color="auto" w:fill="FFFFFF"/>
          <w:lang w:val="uk-UA"/>
        </w:rPr>
        <w:t xml:space="preserve"> на тему:</w:t>
      </w:r>
    </w:p>
    <w:p w14:paraId="397A90FD">
      <w:pPr>
        <w:spacing w:line="360" w:lineRule="auto"/>
        <w:ind w:firstLine="720"/>
        <w:jc w:val="center"/>
        <w:rPr>
          <w:b/>
          <w:sz w:val="28"/>
          <w:szCs w:val="28"/>
          <w:lang w:val="uk-UA"/>
        </w:rPr>
      </w:pPr>
      <w:r>
        <w:rPr>
          <w:b/>
          <w:sz w:val="28"/>
          <w:szCs w:val="28"/>
          <w:lang w:val="uk-UA"/>
        </w:rPr>
        <w:t>«</w:t>
      </w:r>
      <w:r>
        <w:rPr>
          <w:b/>
          <w:bCs/>
          <w:sz w:val="28"/>
          <w:szCs w:val="28"/>
          <w:lang w:val="uk-UA"/>
        </w:rPr>
        <w:t>Нормативно-правове регулювання здійснення контролю за обробкою персональних даних</w:t>
      </w:r>
      <w:r>
        <w:rPr>
          <w:b/>
          <w:sz w:val="28"/>
          <w:szCs w:val="28"/>
          <w:lang w:val="uk-UA"/>
        </w:rPr>
        <w:t>», поданої на здобуття ступеня</w:t>
      </w:r>
    </w:p>
    <w:p w14:paraId="23042B2C">
      <w:pPr>
        <w:spacing w:line="360" w:lineRule="auto"/>
        <w:ind w:firstLine="720"/>
        <w:jc w:val="center"/>
        <w:rPr>
          <w:b/>
          <w:sz w:val="28"/>
          <w:szCs w:val="28"/>
          <w:lang w:val="uk-UA"/>
        </w:rPr>
      </w:pPr>
      <w:r>
        <w:rPr>
          <w:b/>
          <w:sz w:val="28"/>
          <w:szCs w:val="28"/>
          <w:lang w:val="uk-UA"/>
        </w:rPr>
        <w:t xml:space="preserve">доктора філософії у галузі знань 08 «Право» </w:t>
      </w:r>
    </w:p>
    <w:p w14:paraId="7CC51130">
      <w:pPr>
        <w:spacing w:line="360" w:lineRule="auto"/>
        <w:ind w:firstLine="720"/>
        <w:jc w:val="center"/>
        <w:rPr>
          <w:b/>
          <w:bCs/>
          <w:color w:val="000000"/>
          <w:sz w:val="28"/>
          <w:szCs w:val="28"/>
          <w:lang w:val="uk-UA" w:eastAsia="uk-UA"/>
        </w:rPr>
      </w:pPr>
      <w:r>
        <w:rPr>
          <w:b/>
          <w:sz w:val="28"/>
          <w:szCs w:val="28"/>
          <w:lang w:val="uk-UA"/>
        </w:rPr>
        <w:t>за спеціальністю 081 «Право»</w:t>
      </w:r>
    </w:p>
    <w:p w14:paraId="2F314A43">
      <w:pPr>
        <w:pStyle w:val="43"/>
        <w:rPr>
          <w:lang w:val="uk-UA"/>
        </w:rPr>
      </w:pPr>
    </w:p>
    <w:p w14:paraId="49EE7433">
      <w:pPr>
        <w:spacing w:line="360" w:lineRule="auto"/>
        <w:ind w:firstLine="709"/>
        <w:jc w:val="both"/>
        <w:rPr>
          <w:sz w:val="28"/>
          <w:szCs w:val="28"/>
          <w:lang w:val="uk-UA"/>
        </w:rPr>
      </w:pPr>
      <w:r>
        <w:rPr>
          <w:b/>
          <w:bCs/>
          <w:sz w:val="28"/>
          <w:szCs w:val="28"/>
          <w:lang w:val="uk-UA"/>
        </w:rPr>
        <w:t>Актуальність обраної теми.</w:t>
      </w:r>
      <w:r>
        <w:rPr>
          <w:sz w:val="28"/>
          <w:szCs w:val="28"/>
          <w:lang w:val="uk-UA"/>
        </w:rPr>
        <w:t xml:space="preserve"> Стрімка цифровізація суспільних відносин, масштабне використання інформаційно-комунікаційних технологій, розвиток автоматизованого прийняття рішень та технологій штучного інтелекту зумовлюють постійне зростання обсягів обробки персональних даних та, водночас, формують нові ризики для реалізації і захисту права на приватність. За таких умов належне нормативно-правове регулювання обробки персональних даних та забезпечення ефективного контролю за дотриманням установлених законодавством вимог набувають особливого значення, як складові гарантування основоположних прав і свобод людини.</w:t>
      </w:r>
    </w:p>
    <w:p w14:paraId="1E7CF493">
      <w:pPr>
        <w:spacing w:line="360" w:lineRule="auto"/>
        <w:ind w:firstLine="709"/>
        <w:jc w:val="both"/>
        <w:rPr>
          <w:sz w:val="28"/>
          <w:szCs w:val="28"/>
          <w:lang w:val="uk-UA"/>
        </w:rPr>
      </w:pPr>
      <w:r>
        <w:rPr>
          <w:sz w:val="28"/>
          <w:szCs w:val="28"/>
          <w:lang w:val="uk-UA"/>
        </w:rPr>
        <w:t xml:space="preserve">Актуальність обраної теми посилюється євроінтеграційними процесами та необхідністю подальшого наближення національного законодавства до європейських стандартів захисту персональних даних. Досліджувана проблематика особливо набуває значення в умовах воєнного стану, коли істотно зростають ризики кібератак та неправомірного використання персональних даних, а можливі наслідки відповідних порушень стосуються не лише приватних інтересів конкретної особи, але й можуть створювати загрози публічним інтересам та національній безпеці. </w:t>
      </w:r>
    </w:p>
    <w:p w14:paraId="691053C0">
      <w:pPr>
        <w:spacing w:line="360" w:lineRule="auto"/>
        <w:ind w:firstLine="709"/>
        <w:jc w:val="both"/>
        <w:rPr>
          <w:sz w:val="28"/>
          <w:szCs w:val="28"/>
          <w:lang w:val="uk-UA"/>
        </w:rPr>
      </w:pPr>
      <w:r>
        <w:rPr>
          <w:sz w:val="28"/>
          <w:lang w:val="uk-UA"/>
        </w:rPr>
        <w:t xml:space="preserve">Привертає увагу висвітлена </w:t>
      </w:r>
      <w:r>
        <w:rPr>
          <w:sz w:val="28"/>
          <w:szCs w:val="28"/>
          <w:lang w:val="uk-UA"/>
        </w:rPr>
        <w:t xml:space="preserve">в емпіричній частині дисертації суттєва диспропорція: за офіційними даними, закріпленими у Щорічних доповідях Уповноваженого Верховної Ради України з прав людини, кількість звернень громадян щодо порушень захисту персональних даних зросла у 2022-2025 роках з 844 до </w:t>
      </w:r>
      <w:r>
        <w:rPr>
          <w:sz w:val="28"/>
          <w:lang w:val="uk-UA"/>
        </w:rPr>
        <w:t>2 109</w:t>
      </w:r>
      <w:r>
        <w:rPr>
          <w:sz w:val="28"/>
          <w:szCs w:val="28"/>
          <w:lang w:val="uk-UA"/>
        </w:rPr>
        <w:t xml:space="preserve">, тоді як кількість протоколів про адміністративні правопорушення за статтею </w:t>
      </w:r>
      <w:r>
        <w:rPr>
          <w:sz w:val="28"/>
          <w:szCs w:val="28"/>
        </w:rPr>
        <w:t>188</w:t>
      </w:r>
      <w:r>
        <w:rPr>
          <w:sz w:val="28"/>
          <w:szCs w:val="28"/>
          <w:vertAlign w:val="superscript"/>
          <w:lang w:val="uk-UA"/>
        </w:rPr>
        <w:t>39</w:t>
      </w:r>
      <w:r>
        <w:rPr>
          <w:sz w:val="28"/>
          <w:szCs w:val="28"/>
        </w:rPr>
        <w:t xml:space="preserve"> Кодексу </w:t>
      </w:r>
      <w:r>
        <w:rPr>
          <w:sz w:val="28"/>
          <w:szCs w:val="28"/>
          <w:lang w:val="uk-UA"/>
        </w:rPr>
        <w:t>України про адміністративні правопорушення за цей самий період скоротилася.</w:t>
      </w:r>
    </w:p>
    <w:p w14:paraId="4F5343D0">
      <w:pPr>
        <w:spacing w:line="360" w:lineRule="auto"/>
        <w:ind w:firstLine="709"/>
        <w:jc w:val="both"/>
        <w:rPr>
          <w:sz w:val="28"/>
          <w:szCs w:val="28"/>
          <w:lang w:val="uk-UA"/>
        </w:rPr>
      </w:pPr>
      <w:r>
        <w:rPr>
          <w:sz w:val="28"/>
          <w:szCs w:val="28"/>
          <w:lang w:val="uk-UA"/>
        </w:rPr>
        <w:t xml:space="preserve">З огляду на вищевказане, дослідження обраної Онищенком В.В. проблематики є виправданим, своєчасним та практично значимим. </w:t>
      </w:r>
    </w:p>
    <w:p w14:paraId="2A2BB01F">
      <w:pPr>
        <w:spacing w:line="360" w:lineRule="auto"/>
        <w:ind w:firstLine="709"/>
        <w:jc w:val="both"/>
        <w:rPr>
          <w:sz w:val="28"/>
          <w:szCs w:val="28"/>
          <w:lang w:val="uk-UA"/>
        </w:rPr>
      </w:pPr>
      <w:r>
        <w:rPr>
          <w:b/>
          <w:bCs/>
          <w:sz w:val="28"/>
          <w:szCs w:val="28"/>
          <w:lang w:val="uk-UA"/>
        </w:rPr>
        <w:t xml:space="preserve">Ступінь обґрунтованості наукових положень, висновків та рекомендацій, сформульованих у дисертації. </w:t>
      </w:r>
      <w:r>
        <w:rPr>
          <w:sz w:val="28"/>
          <w:szCs w:val="28"/>
          <w:lang w:val="uk-UA"/>
        </w:rPr>
        <w:t>Виконана дисертація може бути охарактеризована як така, що має достатній науково-теоретичний рівень та практичну значимість положень й висновків, що пропонуються автором.</w:t>
      </w:r>
    </w:p>
    <w:p w14:paraId="5A5C0A44">
      <w:pPr>
        <w:spacing w:line="360" w:lineRule="auto"/>
        <w:ind w:firstLine="709"/>
        <w:jc w:val="both"/>
        <w:rPr>
          <w:sz w:val="28"/>
          <w:szCs w:val="28"/>
          <w:lang w:val="uk-UA"/>
        </w:rPr>
      </w:pPr>
      <w:r>
        <w:rPr>
          <w:sz w:val="28"/>
          <w:szCs w:val="28"/>
          <w:lang w:val="uk-UA"/>
        </w:rPr>
        <w:t xml:space="preserve">Здобувачем коректно сформульовано мету наукового дослідження, яка полягає у комплексному теоретико-правовому аналізі інституту контролю за обробкою персональних даних в Україні, визначенні поняття, видів і форм такого контролю, встановленні правового статусу та повноважень суб’єктів контролю, виявленні системних проблем механізму відповідальності за порушення законодавства у відповідній сфері, а також у розробленні науково обґрунтованих пропозицій щодо вдосконалення нормативно-правового регулювання та підвищення ефективності системи контролю за обробкою персональних даних в Україні з урахуванням міжнародних стандартів і зарубіжного досвіду. </w:t>
      </w:r>
    </w:p>
    <w:p w14:paraId="75103B83">
      <w:pPr>
        <w:spacing w:line="360" w:lineRule="auto"/>
        <w:ind w:firstLine="709"/>
        <w:jc w:val="both"/>
        <w:rPr>
          <w:sz w:val="28"/>
          <w:szCs w:val="28"/>
          <w:lang w:val="uk-UA"/>
        </w:rPr>
      </w:pPr>
      <w:r>
        <w:rPr>
          <w:sz w:val="28"/>
          <w:szCs w:val="28"/>
          <w:lang w:val="uk-UA"/>
        </w:rPr>
        <w:t>Для досягнення поставленої мети дисертантом визначено наступні завдання: дослідити та визначити поняття, сутність та критерії відмежування персональних даних від суміжних правових категорій; визначити правовий режим персональних даних і співвідношення законодавчого та підзаконного регулювання у цій частині; охарактеризувати систему принципів і підстав обробки персональних даних за законодавством України у порівнянні з вимогами GDPR; обґрунтувати концепцію контролю за обробкою персональних даних як особливого виду публічного контролю та визначити його місце в системі адміністративного права; розкрити поняття, види і форми контролю та запропонувати їх наукову класифікацію; проаналізувати систему суб’єктів контролю в Україні, встановити обсяг і межі їх повноважень та обґрунтувати правову природу судової діяльності у цій сфері; встановити систему видів юридичної відповідальності за порушення законодавства про обробку персональних даних і виявити проблеми правозастосовної практики на підставі статистичного аналізу; проаналізувати зарубіжний досвід контролю у моделях Європейського Союзу, Сполучених Штатів Америки та Китайської Народної Республіки, а також практику Європейського суду з прав людини і Суду Європейського Союзу; виявити виклики технологій штучного інтелекту для системи контролю і визначити нові повноваження наглядового органу; запропонувати організаційні та нормативно-правові напрями забезпечення ефективності контролю, у тому числі конкретні модельні норми змін до законодавства України.</w:t>
      </w:r>
    </w:p>
    <w:p w14:paraId="3C5BB813">
      <w:pPr>
        <w:spacing w:line="360" w:lineRule="auto"/>
        <w:ind w:firstLine="709"/>
        <w:jc w:val="both"/>
        <w:rPr>
          <w:sz w:val="28"/>
          <w:szCs w:val="28"/>
          <w:lang w:val="uk-UA"/>
        </w:rPr>
      </w:pPr>
      <w:r>
        <w:rPr>
          <w:sz w:val="28"/>
          <w:szCs w:val="28"/>
          <w:lang w:val="uk-UA"/>
        </w:rPr>
        <w:t xml:space="preserve">Аналіз змісту дисертаційного дослідження дає підстави стверджувати, що визначені здобувачем завдання є логічно взаємопов’язаними, послідовними та достатніми для досягнення поставленої мети. Їх належне компонування дозволило автору комплексно дослідити теоретико-правові засади обробки персональних даних, особливості правореалізації та правозастосування у сфері контролю за їх обробкою, а також визначити основні організаційні та нормативно-правові напрями підвищення ефективності такого контролю. </w:t>
      </w:r>
    </w:p>
    <w:p w14:paraId="722CBF30">
      <w:pPr>
        <w:spacing w:line="360" w:lineRule="auto"/>
        <w:ind w:firstLine="709"/>
        <w:jc w:val="both"/>
        <w:rPr>
          <w:sz w:val="28"/>
          <w:szCs w:val="28"/>
          <w:lang w:val="uk-UA"/>
        </w:rPr>
      </w:pPr>
      <w:r>
        <w:rPr>
          <w:b/>
          <w:bCs/>
          <w:sz w:val="28"/>
          <w:szCs w:val="28"/>
          <w:lang w:val="uk-UA"/>
        </w:rPr>
        <w:t xml:space="preserve">Достовірність і наукова новизна положень, висновків та пропозицій, які виносяться на захист. </w:t>
      </w:r>
      <w:r>
        <w:rPr>
          <w:sz w:val="28"/>
          <w:szCs w:val="28"/>
          <w:lang w:val="uk-UA"/>
        </w:rPr>
        <w:t xml:space="preserve">Онищенко В. В. продемонстрував достатній рівень оперування основними доктринальними категоріями в межах об’єкта та предмета дослідження. Здобувачем комплексно розкрито зміст категорій «персональні дані», «обробка персональних даних», «контроль за обробкою персональних даних», визначено їх сутнісні характеристики та критерії відмежування від суміжних правових категорій. Важливим теоретичним результатом є запропоноване автором розуміння системи контролю за обробкою персональних даних як сукупності взаємопов’язаних і взаємодоповнювальних рівнів контролюючого впливу – загального регулятора, секторальних державних регуляторів, органів професійного самоврядування, етичних органів саморегулювання та внутрішнього самоконтролю володільця, що утворюють п’ятирівневу типологію суб’єктів, побудовану за критерієм природи суб’єкта та юридичної сили його рішень. Здобувачем доведено </w:t>
      </w:r>
      <w:r>
        <w:rPr>
          <w:rFonts w:eastAsia="Calibri"/>
          <w:sz w:val="28"/>
          <w:szCs w:val="28"/>
          <w:lang w:val="uk-UA"/>
        </w:rPr>
        <w:t>можливість самостійно провадити ефективне наукове</w:t>
      </w:r>
      <w:r>
        <w:rPr>
          <w:sz w:val="28"/>
          <w:szCs w:val="28"/>
          <w:lang w:val="uk-UA"/>
        </w:rPr>
        <w:t xml:space="preserve"> дослідження теоретичних положень, нормативно-правової бази та правозастосовної практики у сфері обробки персональних даних, виокремлювати проблемні аспекти чинної моделі контролю та формулювати науково обґрунтовані напрями їх вирішення.</w:t>
      </w:r>
    </w:p>
    <w:p w14:paraId="39AF7DCA">
      <w:pPr>
        <w:pStyle w:val="43"/>
        <w:spacing w:line="360" w:lineRule="auto"/>
        <w:ind w:firstLine="720"/>
        <w:jc w:val="both"/>
        <w:rPr>
          <w:sz w:val="28"/>
          <w:szCs w:val="28"/>
          <w:lang w:val="uk-UA"/>
        </w:rPr>
      </w:pPr>
      <w:r>
        <w:rPr>
          <w:sz w:val="28"/>
          <w:szCs w:val="28"/>
          <w:lang w:val="uk-UA"/>
        </w:rPr>
        <w:t xml:space="preserve">За результатами ознайомлення з дисертацією можна дійти висновку про належне оволодіння автором методологічним інструментарієм наукового дослідження. Зокрема, формально-юридичний метод використано для аналізу положень Закону України «Про захист персональних даних», Кодексу України про адміністративні правопорушення та GDPR; порівняльно-правовий – для зіставлення моделей контролю, сформованих у Європейському Союзі, Сполучених Штатах Америки та Китайської Народної Республіки; системно-структурний – для розгляду досліджуваного об’єкта як цілісної системи та побудови авторської моделі причинно-наслідкових зв’язків між нормативним дефіцитом, інституційною слабкістю і низькою санкційною ефективністю; історико-правовий – для дослідження еволюції правових інститутів у сфері контролю за обробкою та захистом персональних даних, у тому числі в умовах воєнного стану. </w:t>
      </w:r>
    </w:p>
    <w:p w14:paraId="1C7970D9">
      <w:pPr>
        <w:pStyle w:val="43"/>
        <w:spacing w:line="360" w:lineRule="auto"/>
        <w:ind w:firstLine="720"/>
        <w:jc w:val="both"/>
        <w:rPr>
          <w:sz w:val="28"/>
          <w:szCs w:val="28"/>
          <w:lang w:val="uk-UA"/>
        </w:rPr>
      </w:pPr>
      <w:r>
        <w:rPr>
          <w:sz w:val="28"/>
          <w:szCs w:val="28"/>
          <w:lang w:val="uk-UA"/>
        </w:rPr>
        <w:t xml:space="preserve">Дисертаційна робота Онищенка В. В. складається з трьох розділів, які містять вісім підрозділів. У першому розділі «Обробка персональних даних: теоретико-правова характеристика» здобувач досліджує поняття та сутність персональних даних, здійснює їх відмежування від суміжних правових категорій, а також аналізує нормативно-правове регулювання здійснення обробки персональних даних. Другий розділ «Здійснення контролю за обробкою персональних даних: правореалізація та правозастосування» присвячено визначенню поняття, видів та форм контролю за обробкою персональних даних, характеристиці системи суб’єктів контролю за дотриманням законодавства у цій сфері та дослідженню відповідальності за його порушення. У третьому розділі «Напрями забезпечення ефективності здійснення контролю за обробкою персональних даних» проаналізовано міжнародні стандарти контролю, практику Європейського суду з прав людини, Суду Європейського Союзу та досвід європейських наглядових органів, розкрито вплив технологій штучного інтелекту на трансформацію контрольної діяльності та запропоновано організаційні й нормативно-правові напрями підвищення ефективності контролю в Україні. </w:t>
      </w:r>
    </w:p>
    <w:p w14:paraId="79EAECBA">
      <w:pPr>
        <w:pStyle w:val="43"/>
        <w:spacing w:line="360" w:lineRule="auto"/>
        <w:ind w:firstLine="720"/>
        <w:jc w:val="both"/>
        <w:rPr>
          <w:sz w:val="28"/>
          <w:szCs w:val="28"/>
          <w:lang w:val="uk-UA"/>
        </w:rPr>
      </w:pPr>
      <w:r>
        <w:rPr>
          <w:sz w:val="28"/>
          <w:szCs w:val="28"/>
          <w:lang w:val="uk-UA"/>
        </w:rPr>
        <w:t>Обрана дисертантом структура роботи дозволила здійснити послідовний перехід від теоретико-правової характеристики персональних даних та нормативних засад їх обробки до дослідження механізму реалізації контрольних повноважень і визначення перспектив його вдосконалення. Така побудова дисертаційної роботи дає можливість комплексно розкрити тему, вирішити поставлені завдання та досягти визначеної мети дослідження.</w:t>
      </w:r>
    </w:p>
    <w:p w14:paraId="448888BE">
      <w:pPr>
        <w:pStyle w:val="43"/>
        <w:spacing w:line="360" w:lineRule="auto"/>
        <w:ind w:firstLine="720"/>
        <w:jc w:val="both"/>
        <w:rPr>
          <w:sz w:val="28"/>
          <w:szCs w:val="28"/>
          <w:lang w:val="uk-UA"/>
        </w:rPr>
      </w:pPr>
      <w:r>
        <w:rPr>
          <w:sz w:val="28"/>
          <w:szCs w:val="28"/>
          <w:lang w:val="uk-UA"/>
        </w:rPr>
        <w:t xml:space="preserve">Здобувач сформулював низку положень, висновків та пропозицій, що мають як науковий, так і практичний інтерес. Серед найбільш вагомих доктринальних напрацювань слід виділити запропоновану автором п’ятирівневу систему контролю за обробкою персональних даних, яка охоплює загального регулятора, секторальних державних регуляторів, органи професійного самоврядування, етичні органи саморегулювання та внутрішній самоконтроль володільця. Такий підхід дозволив автору продемонструвати контроль не як діяльність одного уповноваженого державного органу, а як систему взаємопов’язаних рівнів контролюючого впливу. </w:t>
      </w:r>
    </w:p>
    <w:p w14:paraId="44F2AD86">
      <w:pPr>
        <w:pStyle w:val="43"/>
        <w:spacing w:line="360" w:lineRule="auto"/>
        <w:ind w:firstLine="720"/>
        <w:jc w:val="both"/>
        <w:rPr>
          <w:sz w:val="28"/>
          <w:szCs w:val="28"/>
          <w:lang w:val="uk-UA"/>
        </w:rPr>
      </w:pPr>
      <w:r>
        <w:rPr>
          <w:sz w:val="28"/>
          <w:szCs w:val="28"/>
          <w:lang w:val="uk-UA"/>
        </w:rPr>
        <w:t xml:space="preserve">Науковий інтерес становить також обґрунтована здобувачем концепція сферозалежного (секторального) контролю за обробкою персональних даних, відповідно до якої конфігурація контролю – коло суб’єктів, обсяг їх повноважень та застосовні форми – визначається сферою суспільних відносин, у межах якої здійснюється обробка персональних даних, тоді як компетенція секторальних суб’єктів щодо персональних даних має похідний характер та виникає внаслідок перетину спеціальних правових режимів зі сферою персональних даних. </w:t>
      </w:r>
    </w:p>
    <w:p w14:paraId="2CF7D8FA">
      <w:pPr>
        <w:pStyle w:val="43"/>
        <w:spacing w:line="360" w:lineRule="auto"/>
        <w:ind w:firstLine="720"/>
        <w:jc w:val="both"/>
        <w:rPr>
          <w:sz w:val="28"/>
          <w:szCs w:val="28"/>
          <w:lang w:val="uk-UA"/>
        </w:rPr>
      </w:pPr>
      <w:r>
        <w:rPr>
          <w:sz w:val="28"/>
          <w:szCs w:val="28"/>
          <w:lang w:val="uk-UA"/>
        </w:rPr>
        <w:t xml:space="preserve">Заслуговує на увагу позиція автора щодо концептуальної некоректності віднесення судів до суб’єктів контролю за законодавством про захист персональних даних. Натомість запропоновано визначати суди як «суб’єктів судового захисту прав у сфері обробки персональних даних», що дозволяє чіткіше розмежувати контрольну функцію та функцію здійснення правосуддя. Важливими є також удосконалені автором підходи до класифікації контролю за обробкою персональних даних шляхом розмежування трьох самостійних класифікаційних площин – виду контролю, форми контролю та сфери суспільних відносин, а також запропоноване структурування правових підстав обробки персональних даних залежно від їх правової природи. </w:t>
      </w:r>
    </w:p>
    <w:p w14:paraId="3B4BCCDB">
      <w:pPr>
        <w:pStyle w:val="43"/>
        <w:spacing w:line="360" w:lineRule="auto"/>
        <w:ind w:firstLine="720"/>
        <w:jc w:val="both"/>
        <w:rPr>
          <w:sz w:val="28"/>
          <w:szCs w:val="28"/>
          <w:lang w:val="uk-UA"/>
        </w:rPr>
      </w:pPr>
      <w:r>
        <w:rPr>
          <w:sz w:val="28"/>
          <w:szCs w:val="28"/>
          <w:lang w:val="uk-UA"/>
        </w:rPr>
        <w:t xml:space="preserve">Окремої позитивної оцінки заслуговує дослідження здобувачем трансформації контролю в умовах застосування технологій штучного інтелекту. Автор обґрунтовує необхідність переходу від перевірки окремих операцій обробки персональних даних до системного аудиту архітектури систем штучного інтелекту та необхідність розвитку технічної спроможності наглядового органу для незалежного тестування алгоритмічних систем. Такий підхід відображає зміщення акценту з переважно реактивної моделі контролю на превентивну та ризик-орієнтовану модель захисту інформаційних прав особи. </w:t>
      </w:r>
    </w:p>
    <w:p w14:paraId="79F80870">
      <w:pPr>
        <w:pStyle w:val="43"/>
        <w:spacing w:line="360" w:lineRule="auto"/>
        <w:ind w:firstLine="720"/>
        <w:jc w:val="both"/>
        <w:rPr>
          <w:sz w:val="28"/>
          <w:szCs w:val="28"/>
          <w:lang w:val="uk-UA"/>
        </w:rPr>
      </w:pPr>
      <w:r>
        <w:rPr>
          <w:sz w:val="28"/>
          <w:szCs w:val="28"/>
          <w:lang w:val="uk-UA"/>
        </w:rPr>
        <w:t>Елементи наукової новизни дослідження належним чином відображені у змісті дисертаційної роботи та знаходять своє підтвердження у сформульованих здобувачем висновках. Таким чином, результати дисертаційного дослідження (у тому числі відображені у наукових публікаціях здобувача) мають необхідний рівень наукової новизни. Висновки, пропозиції та рекомендації, у тому числі й ті, що характеризують наукову новизну, одержані автором особисто. Використання ідей, результатів і текстів інших авторів мають відповідні посилання, що підкреслює достовірність зроблених висновків.</w:t>
      </w:r>
    </w:p>
    <w:p w14:paraId="1956851C">
      <w:pPr>
        <w:pStyle w:val="43"/>
        <w:spacing w:line="360" w:lineRule="auto"/>
        <w:ind w:firstLine="720"/>
        <w:jc w:val="both"/>
        <w:rPr>
          <w:sz w:val="28"/>
          <w:szCs w:val="28"/>
          <w:lang w:val="uk-UA"/>
        </w:rPr>
      </w:pPr>
      <w:r>
        <w:rPr>
          <w:b/>
          <w:bCs/>
          <w:sz w:val="28"/>
          <w:szCs w:val="28"/>
          <w:lang w:val="uk-UA"/>
        </w:rPr>
        <w:t>Практичне значення одержаних результатів.</w:t>
      </w:r>
      <w:r>
        <w:rPr>
          <w:sz w:val="28"/>
          <w:szCs w:val="28"/>
          <w:lang w:val="uk-UA"/>
        </w:rPr>
        <w:t xml:space="preserve"> Практичне значення одержаних результатів дисертаційного дослідження полягає у можливості їх застосування у різних сферах правового регулювання відносин щодо обробки та захисту персональних даних, а також у науковій та освітній діяльності, зокрема у:</w:t>
      </w:r>
    </w:p>
    <w:p w14:paraId="273D3E98">
      <w:pPr>
        <w:pStyle w:val="43"/>
        <w:spacing w:line="360" w:lineRule="auto"/>
        <w:ind w:firstLine="720"/>
        <w:jc w:val="both"/>
        <w:rPr>
          <w:sz w:val="28"/>
          <w:szCs w:val="28"/>
          <w:lang w:val="uk-UA"/>
        </w:rPr>
      </w:pPr>
      <w:r>
        <w:rPr>
          <w:sz w:val="28"/>
          <w:szCs w:val="28"/>
          <w:lang w:val="uk-UA"/>
        </w:rPr>
        <w:t xml:space="preserve">науково-дослідній сфері – результати дослідження можуть бути використані для подальшого розвитку теоретичних та прикладних засад нормативно-правового регулювання здійснення контролю за обробкою персональних даних, поглиблення наукових підходів до визначення поняття, видів і форм такого контролю, системи його суб’єктів та меж їхніх повноважень, а також для подальших досліджень трансформації методології нагляду і контролю в умовах цифровізації та поширення технологій штучного інтелекту; </w:t>
      </w:r>
    </w:p>
    <w:p w14:paraId="73970244">
      <w:pPr>
        <w:pStyle w:val="43"/>
        <w:spacing w:line="360" w:lineRule="auto"/>
        <w:ind w:firstLine="720"/>
        <w:jc w:val="both"/>
        <w:rPr>
          <w:sz w:val="28"/>
          <w:szCs w:val="28"/>
          <w:lang w:val="uk-UA"/>
        </w:rPr>
      </w:pPr>
      <w:r>
        <w:rPr>
          <w:sz w:val="28"/>
          <w:szCs w:val="28"/>
          <w:lang w:val="uk-UA"/>
        </w:rPr>
        <w:t xml:space="preserve">правотворчій діяльності – у процесі вдосконалення чинного законодавства України у сфері обробки та захисту персональних даних, зокрема Закону України «Про захист персональних даних» та Кодексу України про адміністративні правопорушення, а також під час підготовки змін до Закону України «Про медіа» та Закону України «Про охорону дитинства» щодо забезпечення належного захисту персональних даних дитини та застосування тесту пропорційності при їх поширенні. Практичну цінність у цьому контексті мають розроблені здобувачем конкретні законодавчі пропозиції у формі модельних норм, що є безпосереднім нормативним результатом проведеного дослідження; </w:t>
      </w:r>
    </w:p>
    <w:p w14:paraId="033EDBA0">
      <w:pPr>
        <w:pStyle w:val="43"/>
        <w:spacing w:line="360" w:lineRule="auto"/>
        <w:ind w:firstLine="720"/>
        <w:jc w:val="both"/>
        <w:rPr>
          <w:sz w:val="28"/>
          <w:szCs w:val="28"/>
          <w:lang w:val="uk-UA"/>
        </w:rPr>
      </w:pPr>
      <w:r>
        <w:rPr>
          <w:sz w:val="28"/>
          <w:szCs w:val="28"/>
          <w:lang w:val="uk-UA"/>
        </w:rPr>
        <w:t xml:space="preserve">правозастосовній діяльності – для підвищення ефективності контролю за додержанням законодавства про захист персональних даних, удосконалення практики реалізації контрольних повноважень, застосування заходів юридичної відповідальності за порушення законодавства у цій сфері, а також розвитку превентивних та ризик-орієнтованих підходів до контролю за обробкою персональних даних, у тому числі в умовах використання технологій штучного інтелекту; </w:t>
      </w:r>
    </w:p>
    <w:p w14:paraId="1D7C326A">
      <w:pPr>
        <w:pStyle w:val="43"/>
        <w:spacing w:line="360" w:lineRule="auto"/>
        <w:ind w:firstLine="720"/>
        <w:jc w:val="both"/>
        <w:rPr>
          <w:sz w:val="28"/>
          <w:szCs w:val="28"/>
          <w:lang w:val="uk-UA"/>
        </w:rPr>
      </w:pPr>
      <w:r>
        <w:rPr>
          <w:sz w:val="28"/>
          <w:szCs w:val="28"/>
          <w:lang w:val="uk-UA"/>
        </w:rPr>
        <w:t xml:space="preserve">навчальному процесі – під час викладання навчальних дисциплін «Конституційне право», «Інформаційне право», «Адміністративне право і процес», а також при підготовці підручників, навчальних посібників, методичних матеріалів та інших навчально-методичних видань із проблематики правового регулювання обробки та захисту персональних даних. </w:t>
      </w:r>
    </w:p>
    <w:p w14:paraId="1690620D">
      <w:pPr>
        <w:pStyle w:val="43"/>
        <w:spacing w:line="360" w:lineRule="auto"/>
        <w:ind w:firstLine="720"/>
        <w:jc w:val="both"/>
        <w:rPr>
          <w:sz w:val="28"/>
          <w:szCs w:val="28"/>
          <w:lang w:val="uk-UA"/>
        </w:rPr>
      </w:pPr>
      <w:r>
        <w:rPr>
          <w:b/>
          <w:bCs/>
          <w:sz w:val="28"/>
          <w:szCs w:val="28"/>
          <w:lang w:val="uk-UA"/>
        </w:rPr>
        <w:t>Апробація результатів дослідження.</w:t>
      </w:r>
      <w:r>
        <w:rPr>
          <w:sz w:val="28"/>
          <w:szCs w:val="28"/>
          <w:lang w:val="uk-UA"/>
        </w:rPr>
        <w:t xml:space="preserve"> Дисертацію обговорено та схвалено на засіданні фахового семінару кафедри цивільного, господарського та екологічного права та кафедри публічного права Національного технічного університету «Дніпровська політехніка»</w:t>
      </w:r>
      <w:r>
        <w:rPr>
          <w:rFonts w:eastAsia="Calibri"/>
          <w:sz w:val="28"/>
          <w:szCs w:val="28"/>
          <w:lang w:val="uk-UA"/>
        </w:rPr>
        <w:t xml:space="preserve">. </w:t>
      </w:r>
      <w:r>
        <w:rPr>
          <w:sz w:val="28"/>
          <w:szCs w:val="28"/>
          <w:lang w:val="uk-UA"/>
        </w:rPr>
        <w:t xml:space="preserve">Результати дисертаційного дослідження Онищенка В. В. пройшли належну апробацію. Основні положення дисертації на тему «Нормативно-правове регулювання здійснення контролю за обробкою персональних даних» відображено у 5 наукових публікаціях, з яких 3 наукові статті опубліковано у наукових фахових виданнях, що входять до затвердженого МОН України переліку, та 2 публікації, </w:t>
      </w:r>
      <w:r>
        <w:rPr>
          <w:color w:val="000000" w:themeColor="text1"/>
          <w:sz w:val="28"/>
          <w:szCs w:val="28"/>
          <w:lang w:val="uk-UA"/>
          <w14:textFill>
            <w14:solidFill>
              <w14:schemeClr w14:val="tx1"/>
            </w14:solidFill>
          </w14:textFill>
        </w:rPr>
        <w:t>що засвідчують апробацію матеріалів дисертації та додатково відображають її наукові результати</w:t>
      </w:r>
      <w:r>
        <w:rPr>
          <w:sz w:val="28"/>
          <w:szCs w:val="28"/>
          <w:lang w:val="uk-UA"/>
        </w:rPr>
        <w:t xml:space="preserve">. </w:t>
      </w:r>
    </w:p>
    <w:p w14:paraId="3C0E4D89">
      <w:pPr>
        <w:pStyle w:val="43"/>
        <w:spacing w:line="360" w:lineRule="auto"/>
        <w:ind w:firstLine="720"/>
        <w:jc w:val="both"/>
        <w:rPr>
          <w:sz w:val="28"/>
          <w:szCs w:val="28"/>
          <w:lang w:val="uk-UA"/>
        </w:rPr>
      </w:pPr>
      <w:r>
        <w:rPr>
          <w:rFonts w:eastAsia="Calibri"/>
          <w:sz w:val="28"/>
          <w:szCs w:val="28"/>
          <w:lang w:val="uk-UA"/>
        </w:rPr>
        <w:t xml:space="preserve">Текст дисертації містить посилання на використані при проведеному дослідженні наукові результати, ідеї, публікації інших авторів (список </w:t>
      </w:r>
      <w:r>
        <w:rPr>
          <w:sz w:val="28"/>
          <w:szCs w:val="28"/>
          <w:lang w:val="uk-UA"/>
        </w:rPr>
        <w:t>використаних джерел сформовано з 204 найменувань).</w:t>
      </w:r>
    </w:p>
    <w:p w14:paraId="1A64CB51">
      <w:pPr>
        <w:pStyle w:val="43"/>
        <w:spacing w:line="360" w:lineRule="auto"/>
        <w:ind w:firstLine="720"/>
        <w:jc w:val="both"/>
        <w:rPr>
          <w:sz w:val="28"/>
          <w:szCs w:val="28"/>
          <w:lang w:val="uk-UA"/>
        </w:rPr>
      </w:pPr>
      <w:r>
        <w:rPr>
          <w:b/>
          <w:bCs/>
          <w:sz w:val="28"/>
          <w:szCs w:val="28"/>
          <w:lang w:val="uk-UA"/>
        </w:rPr>
        <w:t>Відсутність порушень академічної доброчесності.</w:t>
      </w:r>
      <w:r>
        <w:rPr>
          <w:sz w:val="28"/>
          <w:szCs w:val="28"/>
          <w:lang w:val="uk-UA"/>
        </w:rPr>
        <w:t xml:space="preserve"> У ході вивчення як дисертаційного дослідження, так і наукових публікацій В.В. Онищенка фактів порушень академічної доброчесності не виявлено. </w:t>
      </w:r>
      <w:r>
        <w:rPr>
          <w:spacing w:val="-2"/>
          <w:sz w:val="28"/>
          <w:szCs w:val="28"/>
          <w:lang w:val="uk-UA"/>
        </w:rPr>
        <w:t>Використання наукових результатів, ідей і текстів інших авторів супроводжується відповідними посиланнями на джерела.</w:t>
      </w:r>
    </w:p>
    <w:p w14:paraId="27D8A830">
      <w:pPr>
        <w:pStyle w:val="43"/>
        <w:spacing w:line="360" w:lineRule="auto"/>
        <w:ind w:firstLine="720"/>
        <w:jc w:val="both"/>
        <w:rPr>
          <w:sz w:val="28"/>
          <w:szCs w:val="28"/>
          <w:lang w:val="uk-UA"/>
        </w:rPr>
      </w:pPr>
      <w:r>
        <w:rPr>
          <w:b/>
          <w:bCs/>
          <w:sz w:val="28"/>
          <w:szCs w:val="28"/>
          <w:lang w:val="uk-UA"/>
        </w:rPr>
        <w:t>Оцінка змісту дисертації.</w:t>
      </w:r>
      <w:r>
        <w:rPr>
          <w:sz w:val="28"/>
          <w:szCs w:val="28"/>
          <w:lang w:val="uk-UA"/>
        </w:rPr>
        <w:t xml:space="preserve"> Структурно дисертація складається з анотацій українською й англійською мовами, вступу, трьох розділів, що містять вісім підрозділів, висновків, списку використаних джерел та додатків.</w:t>
      </w:r>
    </w:p>
    <w:p w14:paraId="3DB8F109">
      <w:pPr>
        <w:pStyle w:val="43"/>
        <w:spacing w:line="360" w:lineRule="auto"/>
        <w:ind w:firstLine="720"/>
        <w:jc w:val="both"/>
        <w:rPr>
          <w:sz w:val="28"/>
          <w:szCs w:val="28"/>
          <w:lang w:val="uk-UA"/>
        </w:rPr>
      </w:pPr>
      <w:r>
        <w:rPr>
          <w:b/>
          <w:bCs/>
          <w:sz w:val="28"/>
          <w:szCs w:val="28"/>
          <w:lang w:val="uk-UA"/>
        </w:rPr>
        <w:t xml:space="preserve">Дискусійні положення та зауваження щодо змісту дисертації. </w:t>
      </w:r>
      <w:r>
        <w:rPr>
          <w:sz w:val="28"/>
          <w:szCs w:val="28"/>
          <w:lang w:val="uk-UA"/>
        </w:rPr>
        <w:t>Незважаючи на достатній рівень дисертаційної роботи Онищенка Владислава Вячеславовича, потрібно звернути увагу на окремі питання, які мають не стільки критичний, скільки дискусійний характер. Наведені у подальшому дискусійні аспекти можуть пожвавити обговорення наукового доробку здобувача під час його публічного захисту.</w:t>
      </w:r>
    </w:p>
    <w:p w14:paraId="0E97C15F">
      <w:pPr>
        <w:pStyle w:val="18"/>
        <w:widowControl w:val="0"/>
        <w:spacing w:before="0" w:beforeAutospacing="0" w:after="0" w:afterAutospacing="0" w:line="360" w:lineRule="auto"/>
        <w:ind w:firstLine="720"/>
        <w:jc w:val="both"/>
        <w:rPr>
          <w:sz w:val="28"/>
          <w:szCs w:val="28"/>
          <w:lang w:val="uk-UA"/>
        </w:rPr>
      </w:pPr>
      <w:r>
        <w:rPr>
          <w:sz w:val="28"/>
          <w:szCs w:val="28"/>
          <w:lang w:val="uk-UA"/>
        </w:rPr>
        <w:t xml:space="preserve">1. У дисертаційному дослідженні значна увага приділена судовій практиці Європейського суду з прав людини та Суду справедливості Європейського Союзу. Водночас, автору доцільно було б більш ґрунтовно використати і практику Верховного Суду та Конституційного Суду України, оскільки у дослідженні проаналізовано лише постанову Великої Палати Верховного Суду від 19 вересня 2018 року (справа № 806/3265/17) та </w:t>
      </w:r>
      <w:r>
        <w:rPr>
          <w:sz w:val="28"/>
          <w:lang w:val="uk-UA"/>
        </w:rPr>
        <w:t>Рішення Конституційного Суду України від 20 січня 2012 року № 2-рп/2012 у справі  № 1-9/2012</w:t>
      </w:r>
      <w:r>
        <w:rPr>
          <w:sz w:val="28"/>
          <w:szCs w:val="28"/>
          <w:lang w:val="uk-UA"/>
        </w:rPr>
        <w:t>, що дещо звужує національний та конституційно-правовий вимір дослідження, особливо в частині окремих аспектів реалізації права на невтручання в особисте життя;</w:t>
      </w:r>
    </w:p>
    <w:p w14:paraId="11C3D761">
      <w:pPr>
        <w:spacing w:line="360" w:lineRule="auto"/>
        <w:ind w:firstLine="709"/>
        <w:jc w:val="both"/>
        <w:rPr>
          <w:sz w:val="28"/>
          <w:szCs w:val="28"/>
          <w:lang w:val="uk-UA"/>
        </w:rPr>
      </w:pPr>
      <w:r>
        <w:rPr>
          <w:sz w:val="28"/>
          <w:szCs w:val="28"/>
          <w:lang w:val="uk-UA"/>
        </w:rPr>
        <w:t>2. Автор, аналізуючи виклики системи штучного інтелекту, виокремлює сім специфічних ризиків для контролю за обробкою персональних даних у діяльності національних наглядових органів.</w:t>
      </w:r>
      <w:r>
        <w:rPr>
          <w:lang w:val="uk-UA"/>
        </w:rPr>
        <w:t xml:space="preserve"> </w:t>
      </w:r>
      <w:r>
        <w:rPr>
          <w:sz w:val="28"/>
          <w:szCs w:val="28"/>
          <w:lang w:val="uk-UA"/>
        </w:rPr>
        <w:t>Водночас, слід зауважити, що належного дослідження та системного розгляду додатково потребує питання взаємодії наглядового органу з операторами цифрових платформ як самостійними суб’єктами, чия роль під час здійснення обробки персональних даних не завжди зводиться до класичної моделі («володілець/розпорядник персональних даних»).</w:t>
      </w:r>
    </w:p>
    <w:p w14:paraId="197F4D73">
      <w:pPr>
        <w:spacing w:line="360" w:lineRule="auto"/>
        <w:ind w:firstLine="709"/>
        <w:jc w:val="both"/>
        <w:rPr>
          <w:sz w:val="28"/>
          <w:szCs w:val="28"/>
          <w:lang w:val="uk-UA"/>
        </w:rPr>
      </w:pPr>
      <w:r>
        <w:rPr>
          <w:sz w:val="28"/>
          <w:szCs w:val="28"/>
          <w:lang w:val="uk-UA"/>
        </w:rPr>
        <w:t>3. У дисертаційному дослідженні автор обґрунтовує необхідність завершення переходу від чинної моделі здійснення контролю у сфері захисту персональних даних Уповноваженим Верховної Ради України з прав людини до спеціалізованого незалежного органу захисту персональних даних відповідно до підходу, закладеного у проєкті Закону України від 18.10.2021    № 6177. При цьому, основний акцент здобувач робить на необхідності забезпечення інституційної спроможності такого органу та наділення його повним обсягом контрольних повноважень, передбачених ст. 58 GDPR, зокрема правом самостійного накладення адміністративних стягнень. Разом із тим, потребує додаткового обґрунтування запропонована автором інституційна модель такого наглядового органу. Зокрема, доцільно уточнити, які організаційно-правові гарантії його незалежності мають бути передбачені у національному законодавстві та яким чином повинні бути врівноважені незалежність наглядового органу, обсяг наданих йому владних повноважень і механізми його підзвітності та контролю за його діяльністю.</w:t>
      </w:r>
    </w:p>
    <w:p w14:paraId="66002414">
      <w:pPr>
        <w:spacing w:line="360" w:lineRule="auto"/>
        <w:ind w:firstLine="708"/>
        <w:jc w:val="both"/>
        <w:rPr>
          <w:sz w:val="28"/>
          <w:szCs w:val="28"/>
          <w:lang w:val="uk-UA"/>
        </w:rPr>
      </w:pPr>
      <w:r>
        <w:rPr>
          <w:sz w:val="28"/>
          <w:szCs w:val="28"/>
          <w:lang w:val="uk-UA"/>
        </w:rPr>
        <w:t>4. Позитивно оцінюючи запропонований дисертантом трискладовий тест допустимості публікації персональних даних дітей у медіа, слід зауважити, що робота зосереджена переважно на сфері медіа, тоді як не менш гострою є проблема обробки персональних даних дітей в освітньому середовищі та в цифрових сервісах, орієнтованих на дітей. Поширення запропонованих автором підходів на ці суміжні сфери, а також співвіднесення їх зі спеціальними вимогами GDPR щодо згоди дитини на обробку персональних даних, надало б відповідним пропозиціям більш універсального характеру.</w:t>
      </w:r>
    </w:p>
    <w:p w14:paraId="0B5DA2FD">
      <w:pPr>
        <w:spacing w:line="360" w:lineRule="auto"/>
        <w:ind w:firstLine="708"/>
        <w:jc w:val="both"/>
        <w:rPr>
          <w:sz w:val="28"/>
          <w:szCs w:val="28"/>
          <w:lang w:val="uk-UA"/>
        </w:rPr>
      </w:pPr>
      <w:r>
        <w:rPr>
          <w:sz w:val="28"/>
          <w:szCs w:val="28"/>
          <w:lang w:val="uk-UA"/>
        </w:rPr>
        <w:t>5. Одним із важливих результатів дисертаційного дослідження є запропонована автором п’ятирівнева типологія суб’єктів контролю за обробкою персональних даних, що охоплює загального регулятора, секторальних державних регуляторів, органи професійного самоврядування, етичні органи саморегулювання та внутрішній самоконтроль володільця. Практичну дію запропонованої конструкції здобувач найбільш детально демонструє на прикладі сфери медіа, яку визначає як репрезентативну для цієї моделі та в межах якої виокремлює одночасне функціонування чотирьох рівнів контролю. Водночас, запропонована типологія позиціонується як загальна модель системи контролю за обробкою персональних даних, що закономірно порушує питання щодо особливостей її застосування в інших сферах суспільних відносин. У зв’язку з цим, додаткової аргументації потребує питання універсальності запропонованої п’ятирівневої конструкції: чи передбачає автор можливість функціонування всіх п’яти рівнів контролю в кожній сфері обробки персональних даних, чи конкретна конфігурація суб’єктів та рівнів контролю має змінюватися залежно від особливостей відповідного сектора? Доцільним у цьому контексті було б більш детально продемонструвати дію запропонованої моделі на прикладі іншої сфери суспільних відносин, зокрема банківської або адвокатської, що дозволило б додатково підтвердити її універсальність та практичну застосовність.</w:t>
      </w:r>
    </w:p>
    <w:p w14:paraId="6DF1F596">
      <w:pPr>
        <w:spacing w:line="360" w:lineRule="auto"/>
        <w:ind w:firstLine="567"/>
        <w:jc w:val="both"/>
        <w:rPr>
          <w:spacing w:val="-2"/>
          <w:sz w:val="28"/>
          <w:szCs w:val="28"/>
          <w:lang w:val="uk-UA"/>
        </w:rPr>
      </w:pPr>
      <w:r>
        <w:rPr>
          <w:spacing w:val="-2"/>
          <w:sz w:val="28"/>
          <w:szCs w:val="28"/>
          <w:lang w:val="uk-UA"/>
        </w:rPr>
        <w:t>Наведені зауваження не знижують достовірності та новизни запропонованих автором наукових положень та висновків, а свідчать про актуальність та складність обраної теми дослідження та наявність додаткових питань та варіативність ракурсів з яких можна досліджувати питання, що були в полі наукового інтересу автора. Здійснений В.В. Онищенком творчий пошук заслуговує на підтримку.</w:t>
      </w:r>
    </w:p>
    <w:p w14:paraId="29D87F51">
      <w:pPr>
        <w:widowControl w:val="0"/>
        <w:spacing w:line="360" w:lineRule="auto"/>
        <w:ind w:firstLine="720"/>
        <w:jc w:val="both"/>
        <w:rPr>
          <w:spacing w:val="-2"/>
          <w:sz w:val="28"/>
          <w:szCs w:val="28"/>
          <w:lang w:val="uk-UA"/>
        </w:rPr>
      </w:pPr>
      <w:r>
        <w:rPr>
          <w:b/>
          <w:bCs/>
          <w:spacing w:val="-2"/>
          <w:sz w:val="28"/>
          <w:szCs w:val="28"/>
          <w:lang w:val="uk-UA"/>
        </w:rPr>
        <w:t xml:space="preserve">Висновок щодо відповідності дисертації встановленим вимогам. </w:t>
      </w:r>
      <w:r>
        <w:rPr>
          <w:spacing w:val="-2"/>
          <w:sz w:val="28"/>
          <w:szCs w:val="28"/>
          <w:lang w:val="uk-UA"/>
        </w:rPr>
        <w:t xml:space="preserve">Дослідження Онищенка Владислава Вячеславовича на тему «Нормативно-правове регулювання здійснення контролю за обробкою персональних даних», подане на здобуття освітньо-наукового ступеня доктора філософії за спеціальністю 081 «Право», є самостійною завершеною кваліфікаційною науковою працею, що містить нові науково обґрунтовані та аргументовані результати, які у своїй сукупності мають значення для розвитку правової доктрини у сфері обробки та захисту персональних даних, удосконалення нормативно-правового регулювання та практики здійснення контролю за додержанням законодавства у цій сфері. </w:t>
      </w:r>
    </w:p>
    <w:p w14:paraId="71991A6B">
      <w:pPr>
        <w:widowControl w:val="0"/>
        <w:spacing w:line="360" w:lineRule="auto"/>
        <w:ind w:firstLine="720"/>
        <w:jc w:val="both"/>
        <w:rPr>
          <w:spacing w:val="-2"/>
          <w:sz w:val="28"/>
          <w:szCs w:val="28"/>
          <w:lang w:val="uk-UA"/>
        </w:rPr>
      </w:pPr>
      <w:r>
        <w:rPr>
          <w:spacing w:val="-2"/>
          <w:sz w:val="28"/>
          <w:szCs w:val="28"/>
          <w:lang w:val="uk-UA"/>
        </w:rPr>
        <w:t xml:space="preserve">Дисертаційна робота характеризується логічністю та послідовністю викладення матеріалу, змістовною завершеністю та структурною цілісністю. Науково-практичні результати, отримані Онищенком Владиславом Вячеславовичем, є достовірними та належним чином обґрунтованими. Сформульовані здобувачем висновки та пропозиції ґрунтуються на опрацюванні значного масиву нормативно-правових актів, наукових джерел і матеріалів правозастосовної практики, зокрема судових рішень, щорічних доповідей Уповноваженого Верховної Ради України з прав людини, практики Європейського суду з прав людини та Суду Європейського Союзу, а також матеріалів діяльності європейських наглядових органів у сфері захисту персональних даних. </w:t>
      </w:r>
    </w:p>
    <w:p w14:paraId="19976C77">
      <w:pPr>
        <w:widowControl w:val="0"/>
        <w:spacing w:line="360" w:lineRule="auto"/>
        <w:ind w:firstLine="720"/>
        <w:jc w:val="both"/>
        <w:rPr>
          <w:spacing w:val="-2"/>
          <w:sz w:val="28"/>
          <w:szCs w:val="28"/>
          <w:lang w:val="uk-UA"/>
        </w:rPr>
      </w:pPr>
      <w:r>
        <w:rPr>
          <w:spacing w:val="-2"/>
          <w:sz w:val="28"/>
          <w:szCs w:val="28"/>
          <w:lang w:val="uk-UA"/>
        </w:rPr>
        <w:t>Висновки дисертаційного дослідження отримали необхідну теоретичну аргументацію та є методологічно обґрунтованими. Науково обґрунтовані положення та практичні пропозиції, що містяться у дисертаційному дослідженні, становлять вагоме значення для подальшого розвитку правової науки та вдосконалення законодавства України у сфері обробки та захисту персональних даних, а також практичної діяльності суб’єктів, уповноважених здійснювати контроль за додержанням відповідного законодавства.</w:t>
      </w:r>
    </w:p>
    <w:p w14:paraId="6128D2CB">
      <w:pPr>
        <w:widowControl w:val="0"/>
        <w:spacing w:line="360" w:lineRule="auto"/>
        <w:ind w:firstLine="720"/>
        <w:jc w:val="both"/>
        <w:rPr>
          <w:spacing w:val="-2"/>
          <w:sz w:val="28"/>
          <w:szCs w:val="28"/>
          <w:lang w:val="uk-UA"/>
        </w:rPr>
      </w:pPr>
      <w:r>
        <w:rPr>
          <w:spacing w:val="-2"/>
          <w:sz w:val="28"/>
          <w:szCs w:val="28"/>
          <w:lang w:val="uk-UA"/>
        </w:rPr>
        <w:t>Оформлення дисертації відповідає встановленим вимогам. Робота виконана українською мовою з належним використанням юридичної та спеціальної термінології. Стиль викладення матеріалу дослідження є науковим.</w:t>
      </w:r>
    </w:p>
    <w:p w14:paraId="20C0917E">
      <w:pPr>
        <w:pStyle w:val="43"/>
        <w:rPr>
          <w:lang w:val="uk-UA"/>
        </w:rPr>
      </w:pPr>
    </w:p>
    <w:p w14:paraId="287A447A">
      <w:pPr>
        <w:widowControl w:val="0"/>
        <w:spacing w:line="360" w:lineRule="auto"/>
        <w:ind w:firstLine="720"/>
        <w:jc w:val="center"/>
        <w:rPr>
          <w:b/>
          <w:bCs/>
          <w:spacing w:val="-2"/>
          <w:sz w:val="28"/>
          <w:szCs w:val="28"/>
          <w:lang w:val="uk-UA"/>
        </w:rPr>
      </w:pPr>
      <w:r>
        <w:rPr>
          <w:b/>
          <w:bCs/>
          <w:spacing w:val="-2"/>
          <w:sz w:val="28"/>
          <w:szCs w:val="28"/>
          <w:lang w:val="uk-UA"/>
        </w:rPr>
        <w:t>ЗАГАЛЬНИЙ ВИСНОВОК</w:t>
      </w:r>
    </w:p>
    <w:p w14:paraId="5DC046C1">
      <w:pPr>
        <w:widowControl w:val="0"/>
        <w:spacing w:line="360" w:lineRule="auto"/>
        <w:ind w:firstLine="720"/>
        <w:jc w:val="both"/>
        <w:rPr>
          <w:sz w:val="28"/>
          <w:szCs w:val="28"/>
          <w:lang w:val="uk-UA"/>
        </w:rPr>
      </w:pPr>
      <w:r>
        <w:rPr>
          <w:spacing w:val="-2"/>
          <w:sz w:val="28"/>
          <w:szCs w:val="28"/>
          <w:lang w:val="uk-UA"/>
        </w:rPr>
        <w:t>На підставі викладеного можна зробити висновок, що дослідження Онищенка Владислава Вячеславовича на тему «</w:t>
      </w:r>
      <w:r>
        <w:rPr>
          <w:sz w:val="28"/>
          <w:szCs w:val="28"/>
          <w:lang w:val="uk-UA"/>
        </w:rPr>
        <w:t>Нормативно-правове регулювання здійснення контролю за обробкою персональних даних</w:t>
      </w:r>
      <w:r>
        <w:rPr>
          <w:spacing w:val="-2"/>
          <w:sz w:val="28"/>
          <w:szCs w:val="28"/>
          <w:lang w:val="uk-UA"/>
        </w:rPr>
        <w:t xml:space="preserve">» відповідає </w:t>
      </w:r>
      <w:r>
        <w:rPr>
          <w:color w:val="000000"/>
          <w:sz w:val="28"/>
          <w:szCs w:val="28"/>
          <w:lang w:val="uk-UA"/>
        </w:rPr>
        <w:t>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року № 261 (зі змінами і доповненнями від 03 квітня 2019 року № 283) та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w:t>
      </w:r>
      <w:r>
        <w:rPr>
          <w:bCs/>
          <w:color w:val="333333"/>
          <w:sz w:val="28"/>
          <w:szCs w:val="28"/>
          <w:shd w:val="clear" w:color="auto" w:fill="FFFFFF"/>
          <w:lang w:val="uk-UA"/>
        </w:rPr>
        <w:t> </w:t>
      </w:r>
      <w:r>
        <w:rPr>
          <w:color w:val="333333"/>
          <w:sz w:val="28"/>
          <w:szCs w:val="28"/>
          <w:shd w:val="clear" w:color="auto" w:fill="FFFFFF"/>
          <w:lang w:val="uk-UA"/>
        </w:rPr>
        <w:t>К</w:t>
      </w:r>
      <w:r>
        <w:rPr>
          <w:color w:val="000000"/>
          <w:sz w:val="28"/>
          <w:szCs w:val="28"/>
          <w:lang w:val="uk-UA"/>
        </w:rPr>
        <w:t>абінету Міністрів України від 12 січня 2022 року №44</w:t>
      </w:r>
      <w:r>
        <w:rPr>
          <w:spacing w:val="6"/>
          <w:sz w:val="28"/>
          <w:szCs w:val="28"/>
          <w:lang w:val="uk-UA"/>
        </w:rPr>
        <w:t xml:space="preserve">, а її  автор – </w:t>
      </w:r>
      <w:r>
        <w:rPr>
          <w:b/>
          <w:bCs/>
          <w:spacing w:val="6"/>
          <w:sz w:val="28"/>
          <w:szCs w:val="28"/>
          <w:lang w:val="uk-UA"/>
        </w:rPr>
        <w:t>Онищенко Владислав Вячеславович</w:t>
      </w:r>
      <w:r>
        <w:rPr>
          <w:spacing w:val="6"/>
          <w:sz w:val="28"/>
          <w:szCs w:val="28"/>
          <w:lang w:val="uk-UA"/>
        </w:rPr>
        <w:t xml:space="preserve"> – на основі публічного захисту </w:t>
      </w:r>
      <w:r>
        <w:rPr>
          <w:sz w:val="28"/>
          <w:szCs w:val="28"/>
          <w:lang w:val="uk-UA" w:eastAsia="uk-UA"/>
        </w:rPr>
        <w:t>заслуговує на присудження йому ступеня доктора філософії за спеціальністю 081 «Право».</w:t>
      </w:r>
    </w:p>
    <w:p w14:paraId="773997E7">
      <w:pPr>
        <w:pStyle w:val="43"/>
        <w:rPr>
          <w:lang w:val="uk-UA"/>
        </w:rPr>
      </w:pPr>
    </w:p>
    <w:p w14:paraId="53FCEBB6">
      <w:pPr>
        <w:widowControl w:val="0"/>
        <w:spacing w:line="360" w:lineRule="auto"/>
        <w:jc w:val="both"/>
        <w:rPr>
          <w:b/>
          <w:sz w:val="28"/>
          <w:szCs w:val="28"/>
          <w:lang w:val="uk-UA"/>
        </w:rPr>
      </w:pPr>
    </w:p>
    <w:p w14:paraId="424468B1">
      <w:pPr>
        <w:widowControl w:val="0"/>
        <w:spacing w:line="360" w:lineRule="auto"/>
        <w:jc w:val="both"/>
        <w:rPr>
          <w:b/>
          <w:sz w:val="28"/>
          <w:szCs w:val="28"/>
          <w:lang w:val="uk-UA"/>
        </w:rPr>
      </w:pPr>
      <w:r>
        <w:rPr>
          <w:b/>
          <w:sz w:val="28"/>
          <w:szCs w:val="28"/>
          <w:lang w:val="uk-UA"/>
        </w:rPr>
        <w:t>Офіційний опонент:</w:t>
      </w:r>
    </w:p>
    <w:p w14:paraId="55711BC7">
      <w:pPr>
        <w:spacing w:line="360" w:lineRule="auto"/>
        <w:contextualSpacing/>
        <w:jc w:val="both"/>
        <w:rPr>
          <w:rFonts w:eastAsia="Calibri"/>
          <w:b/>
          <w:sz w:val="28"/>
          <w:szCs w:val="28"/>
          <w:lang w:val="uk-UA"/>
        </w:rPr>
      </w:pPr>
      <w:r>
        <w:rPr>
          <w:rFonts w:eastAsia="Calibri"/>
          <w:b/>
          <w:sz w:val="28"/>
          <w:szCs w:val="28"/>
          <w:lang w:val="uk-UA"/>
        </w:rPr>
        <w:t>кандидат юридичних наук, доцент,</w:t>
      </w:r>
    </w:p>
    <w:p w14:paraId="4F1EA7A5">
      <w:pPr>
        <w:spacing w:line="360" w:lineRule="auto"/>
        <w:jc w:val="both"/>
        <w:rPr>
          <w:rFonts w:eastAsia="Calibri"/>
          <w:b/>
          <w:sz w:val="28"/>
          <w:szCs w:val="28"/>
          <w:lang w:val="uk-UA"/>
        </w:rPr>
      </w:pPr>
      <w:r>
        <w:rPr>
          <w:rFonts w:eastAsia="Calibri"/>
          <w:b/>
          <w:sz w:val="28"/>
          <w:szCs w:val="28"/>
          <w:lang w:val="uk-UA"/>
        </w:rPr>
        <w:t>доцент кафедри конституційного,</w:t>
      </w:r>
    </w:p>
    <w:p w14:paraId="6F437416">
      <w:pPr>
        <w:spacing w:line="360" w:lineRule="auto"/>
        <w:jc w:val="both"/>
        <w:rPr>
          <w:rFonts w:eastAsia="Calibri"/>
          <w:b/>
          <w:bCs/>
          <w:sz w:val="28"/>
          <w:szCs w:val="28"/>
          <w:lang w:val="uk-UA" w:bidi="uk-UA"/>
        </w:rPr>
      </w:pPr>
      <w:r>
        <w:rPr>
          <w:rFonts w:eastAsia="Calibri"/>
          <w:b/>
          <w:bCs/>
          <w:sz w:val="28"/>
          <w:szCs w:val="28"/>
          <w:lang w:val="uk-UA" w:bidi="uk-UA"/>
        </w:rPr>
        <w:t xml:space="preserve">адміністративного та фінансового права </w:t>
      </w:r>
    </w:p>
    <w:p w14:paraId="51C0E87F">
      <w:pPr>
        <w:spacing w:line="360" w:lineRule="auto"/>
        <w:contextualSpacing/>
        <w:jc w:val="both"/>
        <w:rPr>
          <w:rFonts w:eastAsia="Calibri"/>
          <w:b/>
          <w:bCs/>
          <w:sz w:val="28"/>
          <w:szCs w:val="28"/>
          <w:lang w:val="uk-UA" w:bidi="uk-UA"/>
        </w:rPr>
      </w:pPr>
      <w:r>
        <w:rPr>
          <w:rFonts w:eastAsia="Calibri"/>
          <w:b/>
          <w:bCs/>
          <w:sz w:val="28"/>
          <w:szCs w:val="28"/>
          <w:lang w:val="uk-UA" w:bidi="uk-UA"/>
        </w:rPr>
        <w:t>Чернівецького навчально-наукового юридичного</w:t>
      </w:r>
    </w:p>
    <w:p w14:paraId="504C9D14">
      <w:pPr>
        <w:spacing w:line="360" w:lineRule="auto"/>
        <w:contextualSpacing/>
        <w:jc w:val="both"/>
        <w:rPr>
          <w:rFonts w:eastAsia="Calibri"/>
          <w:b/>
          <w:bCs/>
          <w:sz w:val="28"/>
          <w:szCs w:val="28"/>
          <w:lang w:val="uk-UA" w:bidi="uk-UA"/>
        </w:rPr>
      </w:pPr>
      <w:r>
        <w:rPr>
          <w:rFonts w:eastAsia="Calibri"/>
          <w:b/>
          <w:bCs/>
          <w:sz w:val="28"/>
          <w:szCs w:val="28"/>
          <w:lang w:val="uk-UA" w:bidi="uk-UA"/>
        </w:rPr>
        <w:t>інституту Національного університету</w:t>
      </w:r>
    </w:p>
    <w:p w14:paraId="0E3B72DA">
      <w:pPr>
        <w:spacing w:line="360" w:lineRule="auto"/>
        <w:contextualSpacing/>
        <w:jc w:val="both"/>
        <w:rPr>
          <w:sz w:val="28"/>
          <w:szCs w:val="28"/>
          <w:lang w:val="uk-UA"/>
        </w:rPr>
      </w:pPr>
      <w:r>
        <w:rPr>
          <w:rFonts w:eastAsia="Calibri"/>
          <w:b/>
          <w:bCs/>
          <w:sz w:val="28"/>
          <w:szCs w:val="28"/>
          <w:lang w:val="uk-UA" w:bidi="uk-UA"/>
        </w:rPr>
        <w:t xml:space="preserve">«Одеська юридична академія»                                                     </w:t>
      </w:r>
      <w:r>
        <w:rPr>
          <w:rFonts w:eastAsia="Calibri"/>
          <w:b/>
          <w:sz w:val="28"/>
          <w:szCs w:val="28"/>
          <w:lang w:val="uk-UA"/>
        </w:rPr>
        <w:t xml:space="preserve">Анна МАРУЩАК  </w:t>
      </w:r>
    </w:p>
    <w:p w14:paraId="08EB345C">
      <w:pPr>
        <w:widowControl w:val="0"/>
        <w:jc w:val="both"/>
        <w:rPr>
          <w:b/>
          <w:bCs/>
          <w:sz w:val="28"/>
          <w:szCs w:val="28"/>
          <w:lang w:val="uk-UA"/>
        </w:rPr>
      </w:pPr>
    </w:p>
    <w:p w14:paraId="412E17C9">
      <w:pPr>
        <w:rPr>
          <w:lang w:val="uk-UA"/>
        </w:rPr>
      </w:pPr>
    </w:p>
    <w:sectPr>
      <w:pgSz w:w="11906" w:h="16838"/>
      <w:pgMar w:top="1134" w:right="851"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D4D"/>
    <w:rsid w:val="00007DCC"/>
    <w:rsid w:val="00066BA1"/>
    <w:rsid w:val="000731C0"/>
    <w:rsid w:val="00075D63"/>
    <w:rsid w:val="00093AE7"/>
    <w:rsid w:val="000A4AD3"/>
    <w:rsid w:val="000A7B5B"/>
    <w:rsid w:val="000B216F"/>
    <w:rsid w:val="000D1CA4"/>
    <w:rsid w:val="001012B5"/>
    <w:rsid w:val="00144BFA"/>
    <w:rsid w:val="0016304C"/>
    <w:rsid w:val="00171207"/>
    <w:rsid w:val="00194219"/>
    <w:rsid w:val="00195028"/>
    <w:rsid w:val="001B59C9"/>
    <w:rsid w:val="001B6C7C"/>
    <w:rsid w:val="001C0602"/>
    <w:rsid w:val="001C4971"/>
    <w:rsid w:val="001D570F"/>
    <w:rsid w:val="001D74B7"/>
    <w:rsid w:val="00213EBD"/>
    <w:rsid w:val="00235048"/>
    <w:rsid w:val="00250BA2"/>
    <w:rsid w:val="00264EB0"/>
    <w:rsid w:val="002B1C97"/>
    <w:rsid w:val="002C0C1D"/>
    <w:rsid w:val="002C2D60"/>
    <w:rsid w:val="002C6CE2"/>
    <w:rsid w:val="002D6DF9"/>
    <w:rsid w:val="00310617"/>
    <w:rsid w:val="0032519C"/>
    <w:rsid w:val="0033466F"/>
    <w:rsid w:val="00335BA8"/>
    <w:rsid w:val="00337249"/>
    <w:rsid w:val="00354007"/>
    <w:rsid w:val="00364F13"/>
    <w:rsid w:val="003766C5"/>
    <w:rsid w:val="00386F08"/>
    <w:rsid w:val="003933A1"/>
    <w:rsid w:val="003B028D"/>
    <w:rsid w:val="003E1B42"/>
    <w:rsid w:val="00407804"/>
    <w:rsid w:val="004351B8"/>
    <w:rsid w:val="00437798"/>
    <w:rsid w:val="00447712"/>
    <w:rsid w:val="00447D09"/>
    <w:rsid w:val="00465424"/>
    <w:rsid w:val="0046681D"/>
    <w:rsid w:val="004813EC"/>
    <w:rsid w:val="0049387B"/>
    <w:rsid w:val="004A333D"/>
    <w:rsid w:val="004B11EA"/>
    <w:rsid w:val="004B1F78"/>
    <w:rsid w:val="004C6398"/>
    <w:rsid w:val="004D4EF1"/>
    <w:rsid w:val="004E288E"/>
    <w:rsid w:val="004E532E"/>
    <w:rsid w:val="004F6404"/>
    <w:rsid w:val="0051088B"/>
    <w:rsid w:val="0051244E"/>
    <w:rsid w:val="00544AFE"/>
    <w:rsid w:val="00547665"/>
    <w:rsid w:val="005512DC"/>
    <w:rsid w:val="0055724D"/>
    <w:rsid w:val="005750B7"/>
    <w:rsid w:val="005750FF"/>
    <w:rsid w:val="00580CB6"/>
    <w:rsid w:val="005B64CC"/>
    <w:rsid w:val="005C5A8A"/>
    <w:rsid w:val="005D044B"/>
    <w:rsid w:val="005D5431"/>
    <w:rsid w:val="005F6D28"/>
    <w:rsid w:val="00603445"/>
    <w:rsid w:val="0067487A"/>
    <w:rsid w:val="00677A52"/>
    <w:rsid w:val="00690345"/>
    <w:rsid w:val="006951A1"/>
    <w:rsid w:val="006A4D47"/>
    <w:rsid w:val="006D0858"/>
    <w:rsid w:val="00703F2D"/>
    <w:rsid w:val="00706CC7"/>
    <w:rsid w:val="00715079"/>
    <w:rsid w:val="00721E15"/>
    <w:rsid w:val="007431EE"/>
    <w:rsid w:val="00767EDE"/>
    <w:rsid w:val="0078131C"/>
    <w:rsid w:val="007F3156"/>
    <w:rsid w:val="007F6A7C"/>
    <w:rsid w:val="0080245C"/>
    <w:rsid w:val="00834C58"/>
    <w:rsid w:val="008355EC"/>
    <w:rsid w:val="00835DD5"/>
    <w:rsid w:val="0085147F"/>
    <w:rsid w:val="00853523"/>
    <w:rsid w:val="0085529F"/>
    <w:rsid w:val="0087254A"/>
    <w:rsid w:val="008B08D7"/>
    <w:rsid w:val="008D6918"/>
    <w:rsid w:val="008F4495"/>
    <w:rsid w:val="00923FEC"/>
    <w:rsid w:val="009317BD"/>
    <w:rsid w:val="00933238"/>
    <w:rsid w:val="00934C38"/>
    <w:rsid w:val="00957DE0"/>
    <w:rsid w:val="0097371B"/>
    <w:rsid w:val="009951D2"/>
    <w:rsid w:val="009D1CF8"/>
    <w:rsid w:val="00A327EA"/>
    <w:rsid w:val="00A35F8B"/>
    <w:rsid w:val="00A3639A"/>
    <w:rsid w:val="00A44804"/>
    <w:rsid w:val="00A85013"/>
    <w:rsid w:val="00A91276"/>
    <w:rsid w:val="00AB047B"/>
    <w:rsid w:val="00AE372C"/>
    <w:rsid w:val="00AF0A32"/>
    <w:rsid w:val="00B07344"/>
    <w:rsid w:val="00B10C83"/>
    <w:rsid w:val="00B35713"/>
    <w:rsid w:val="00B50216"/>
    <w:rsid w:val="00B566FA"/>
    <w:rsid w:val="00B63D70"/>
    <w:rsid w:val="00B676BB"/>
    <w:rsid w:val="00B720EE"/>
    <w:rsid w:val="00B743ED"/>
    <w:rsid w:val="00B837B1"/>
    <w:rsid w:val="00B84319"/>
    <w:rsid w:val="00B8537D"/>
    <w:rsid w:val="00B927FF"/>
    <w:rsid w:val="00BA7263"/>
    <w:rsid w:val="00BF0328"/>
    <w:rsid w:val="00BF612D"/>
    <w:rsid w:val="00C077D7"/>
    <w:rsid w:val="00C26530"/>
    <w:rsid w:val="00C429C0"/>
    <w:rsid w:val="00C51F6D"/>
    <w:rsid w:val="00C54774"/>
    <w:rsid w:val="00C57B96"/>
    <w:rsid w:val="00C808A3"/>
    <w:rsid w:val="00C930A2"/>
    <w:rsid w:val="00C95E20"/>
    <w:rsid w:val="00CB3E06"/>
    <w:rsid w:val="00CC3441"/>
    <w:rsid w:val="00CC4790"/>
    <w:rsid w:val="00CE000E"/>
    <w:rsid w:val="00CF181D"/>
    <w:rsid w:val="00CF2DA9"/>
    <w:rsid w:val="00CF4938"/>
    <w:rsid w:val="00D2588C"/>
    <w:rsid w:val="00D4338D"/>
    <w:rsid w:val="00D60C45"/>
    <w:rsid w:val="00D659AC"/>
    <w:rsid w:val="00D6626A"/>
    <w:rsid w:val="00D66D17"/>
    <w:rsid w:val="00D67FAB"/>
    <w:rsid w:val="00D72A3F"/>
    <w:rsid w:val="00D91261"/>
    <w:rsid w:val="00D9576B"/>
    <w:rsid w:val="00DC0BC9"/>
    <w:rsid w:val="00DC2C34"/>
    <w:rsid w:val="00DD5F89"/>
    <w:rsid w:val="00DE3C42"/>
    <w:rsid w:val="00E1167C"/>
    <w:rsid w:val="00E13843"/>
    <w:rsid w:val="00E4113E"/>
    <w:rsid w:val="00E413DF"/>
    <w:rsid w:val="00E55EEB"/>
    <w:rsid w:val="00E67300"/>
    <w:rsid w:val="00E76EE5"/>
    <w:rsid w:val="00E8409D"/>
    <w:rsid w:val="00E8773A"/>
    <w:rsid w:val="00E87D4D"/>
    <w:rsid w:val="00E9581B"/>
    <w:rsid w:val="00EA0C8E"/>
    <w:rsid w:val="00EB2D95"/>
    <w:rsid w:val="00EC0BB4"/>
    <w:rsid w:val="00ED060C"/>
    <w:rsid w:val="00EE1B4E"/>
    <w:rsid w:val="00EF4EEB"/>
    <w:rsid w:val="00F10A50"/>
    <w:rsid w:val="00F27277"/>
    <w:rsid w:val="00F326CA"/>
    <w:rsid w:val="00F37983"/>
    <w:rsid w:val="00F80709"/>
    <w:rsid w:val="00F97677"/>
    <w:rsid w:val="00FA7F76"/>
    <w:rsid w:val="00FE3506"/>
    <w:rsid w:val="00FF7165"/>
    <w:rsid w:val="78FB1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0"/>
      <w:szCs w:val="20"/>
      <w:lang w:val="ru-RU" w:eastAsia="ru-RU" w:bidi="ar-SA"/>
      <w14:ligatures w14:val="none"/>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376092"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37609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376092" w:themeColor="accent1" w:themeShade="BF"/>
    </w:rPr>
  </w:style>
  <w:style w:type="paragraph" w:styleId="7">
    <w:name w:val="heading 6"/>
    <w:basedOn w:val="1"/>
    <w:next w:val="1"/>
    <w:link w:val="26"/>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lock Text"/>
    <w:basedOn w:val="1"/>
    <w:uiPriority w:val="0"/>
    <w:pPr>
      <w:ind w:left="-567" w:right="-766" w:firstLine="567"/>
      <w:jc w:val="center"/>
    </w:pPr>
    <w:rPr>
      <w:sz w:val="28"/>
      <w:lang w:val="uk-UA"/>
    </w:rPr>
  </w:style>
  <w:style w:type="paragraph" w:styleId="14">
    <w:name w:val="Body Text"/>
    <w:basedOn w:val="1"/>
    <w:link w:val="42"/>
    <w:qFormat/>
    <w:uiPriority w:val="99"/>
    <w:pPr>
      <w:widowControl w:val="0"/>
      <w:autoSpaceDE w:val="0"/>
      <w:autoSpaceDN w:val="0"/>
      <w:adjustRightInd w:val="0"/>
      <w:spacing w:after="120" w:line="242" w:lineRule="auto"/>
      <w:ind w:firstLine="680"/>
      <w:jc w:val="both"/>
    </w:pPr>
    <w:rPr>
      <w:color w:val="000000"/>
      <w:spacing w:val="-6"/>
      <w:sz w:val="28"/>
      <w:szCs w:val="28"/>
      <w:lang w:val="uk-UA"/>
    </w:rPr>
  </w:style>
  <w:style w:type="paragraph" w:styleId="15">
    <w:name w:val="annotation text"/>
    <w:basedOn w:val="1"/>
    <w:link w:val="41"/>
    <w:uiPriority w:val="0"/>
  </w:style>
  <w:style w:type="paragraph" w:styleId="16">
    <w:name w:val="footer"/>
    <w:basedOn w:val="1"/>
    <w:link w:val="48"/>
    <w:unhideWhenUsed/>
    <w:uiPriority w:val="99"/>
    <w:pPr>
      <w:tabs>
        <w:tab w:val="center" w:pos="4819"/>
        <w:tab w:val="right" w:pos="9639"/>
      </w:tabs>
    </w:pPr>
  </w:style>
  <w:style w:type="paragraph" w:styleId="17">
    <w:name w:val="header"/>
    <w:basedOn w:val="1"/>
    <w:link w:val="47"/>
    <w:unhideWhenUsed/>
    <w:uiPriority w:val="99"/>
    <w:pPr>
      <w:tabs>
        <w:tab w:val="center" w:pos="4819"/>
        <w:tab w:val="right" w:pos="9639"/>
      </w:tabs>
    </w:pPr>
  </w:style>
  <w:style w:type="paragraph" w:styleId="18">
    <w:name w:val="Normal (Web)"/>
    <w:basedOn w:val="1"/>
    <w:link w:val="46"/>
    <w:uiPriority w:val="99"/>
    <w:pPr>
      <w:spacing w:before="100" w:beforeAutospacing="1" w:after="100" w:afterAutospacing="1"/>
    </w:pPr>
    <w:rPr>
      <w:sz w:val="24"/>
      <w:szCs w:val="24"/>
    </w:rPr>
  </w:style>
  <w:style w:type="paragraph" w:styleId="19">
    <w:name w:val="Subtitle"/>
    <w:basedOn w:val="1"/>
    <w:next w:val="1"/>
    <w:link w:val="31"/>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0">
    <w:name w:val="Title"/>
    <w:basedOn w:val="1"/>
    <w:next w:val="1"/>
    <w:link w:val="30"/>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21">
    <w:name w:val="Заголовок 1 Знак"/>
    <w:basedOn w:val="11"/>
    <w:link w:val="2"/>
    <w:uiPriority w:val="9"/>
    <w:rPr>
      <w:rFonts w:asciiTheme="majorHAnsi" w:hAnsiTheme="majorHAnsi" w:eastAsiaTheme="majorEastAsia" w:cstheme="majorBidi"/>
      <w:color w:val="376092" w:themeColor="accent1" w:themeShade="BF"/>
      <w:sz w:val="40"/>
      <w:szCs w:val="40"/>
    </w:rPr>
  </w:style>
  <w:style w:type="character" w:customStyle="1" w:styleId="22">
    <w:name w:val="Заголовок 2 Знак"/>
    <w:basedOn w:val="11"/>
    <w:link w:val="3"/>
    <w:semiHidden/>
    <w:uiPriority w:val="9"/>
    <w:rPr>
      <w:rFonts w:asciiTheme="majorHAnsi" w:hAnsiTheme="majorHAnsi" w:eastAsiaTheme="majorEastAsia" w:cstheme="majorBidi"/>
      <w:color w:val="376092" w:themeColor="accent1" w:themeShade="BF"/>
      <w:sz w:val="32"/>
      <w:szCs w:val="32"/>
    </w:rPr>
  </w:style>
  <w:style w:type="character" w:customStyle="1" w:styleId="23">
    <w:name w:val="Заголовок 3 Знак"/>
    <w:basedOn w:val="11"/>
    <w:link w:val="4"/>
    <w:semiHidden/>
    <w:qFormat/>
    <w:uiPriority w:val="9"/>
    <w:rPr>
      <w:rFonts w:eastAsiaTheme="majorEastAsia" w:cstheme="majorBidi"/>
      <w:color w:val="376092" w:themeColor="accent1" w:themeShade="BF"/>
      <w:sz w:val="28"/>
      <w:szCs w:val="28"/>
    </w:rPr>
  </w:style>
  <w:style w:type="character" w:customStyle="1" w:styleId="24">
    <w:name w:val="Заголовок 4 Знак"/>
    <w:basedOn w:val="11"/>
    <w:link w:val="5"/>
    <w:semiHidden/>
    <w:uiPriority w:val="9"/>
    <w:rPr>
      <w:rFonts w:eastAsiaTheme="majorEastAsia" w:cstheme="majorBidi"/>
      <w:i/>
      <w:iCs/>
      <w:color w:val="376092" w:themeColor="accent1" w:themeShade="BF"/>
    </w:rPr>
  </w:style>
  <w:style w:type="character" w:customStyle="1" w:styleId="25">
    <w:name w:val="Заголовок 5 Знак"/>
    <w:basedOn w:val="11"/>
    <w:link w:val="6"/>
    <w:semiHidden/>
    <w:qFormat/>
    <w:uiPriority w:val="9"/>
    <w:rPr>
      <w:rFonts w:eastAsiaTheme="majorEastAsia" w:cstheme="majorBidi"/>
      <w:color w:val="376092" w:themeColor="accent1" w:themeShade="BF"/>
    </w:rPr>
  </w:style>
  <w:style w:type="character" w:customStyle="1" w:styleId="26">
    <w:name w:val="Заголовок 6 Знак"/>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Назва Знак"/>
    <w:basedOn w:val="11"/>
    <w:link w:val="20"/>
    <w:uiPriority w:val="10"/>
    <w:rPr>
      <w:rFonts w:asciiTheme="majorHAnsi" w:hAnsiTheme="majorHAnsi" w:eastAsiaTheme="majorEastAsia" w:cstheme="majorBidi"/>
      <w:spacing w:val="-10"/>
      <w:kern w:val="28"/>
      <w:sz w:val="56"/>
      <w:szCs w:val="56"/>
    </w:rPr>
  </w:style>
  <w:style w:type="character" w:customStyle="1" w:styleId="31">
    <w:name w:val="Підзаголовок Знак"/>
    <w:basedOn w:val="11"/>
    <w:link w:val="1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Цитата Знак"/>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link w:val="45"/>
    <w:qFormat/>
    <w:uiPriority w:val="34"/>
    <w:pPr>
      <w:ind w:left="720"/>
      <w:contextualSpacing/>
    </w:pPr>
  </w:style>
  <w:style w:type="character" w:customStyle="1" w:styleId="35">
    <w:name w:val="Intense Emphasis"/>
    <w:basedOn w:val="11"/>
    <w:qFormat/>
    <w:uiPriority w:val="21"/>
    <w:rPr>
      <w:i/>
      <w:iCs/>
      <w:color w:val="376092" w:themeColor="accent1" w:themeShade="BF"/>
    </w:rPr>
  </w:style>
  <w:style w:type="paragraph" w:styleId="36">
    <w:name w:val="Intense Quote"/>
    <w:basedOn w:val="1"/>
    <w:next w:val="1"/>
    <w:link w:val="37"/>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7">
    <w:name w:val="Насичена цитата Знак"/>
    <w:basedOn w:val="11"/>
    <w:link w:val="36"/>
    <w:qFormat/>
    <w:uiPriority w:val="30"/>
    <w:rPr>
      <w:i/>
      <w:iCs/>
      <w:color w:val="376092" w:themeColor="accent1" w:themeShade="BF"/>
    </w:rPr>
  </w:style>
  <w:style w:type="character" w:customStyle="1" w:styleId="38">
    <w:name w:val="Intense Reference"/>
    <w:basedOn w:val="11"/>
    <w:qFormat/>
    <w:uiPriority w:val="32"/>
    <w:rPr>
      <w:b/>
      <w:bCs/>
      <w:smallCaps/>
      <w:color w:val="376092" w:themeColor="accent1" w:themeShade="BF"/>
      <w:spacing w:val="5"/>
    </w:rPr>
  </w:style>
  <w:style w:type="character" w:customStyle="1" w:styleId="39">
    <w:name w:val="apple-converted-space"/>
    <w:basedOn w:val="11"/>
    <w:qFormat/>
    <w:uiPriority w:val="0"/>
  </w:style>
  <w:style w:type="paragraph" w:customStyle="1" w:styleId="40">
    <w:name w:val="СтильВесь"/>
    <w:basedOn w:val="1"/>
    <w:uiPriority w:val="0"/>
    <w:pPr>
      <w:widowControl w:val="0"/>
      <w:suppressLineNumbers/>
      <w:suppressAutoHyphens/>
      <w:spacing w:line="350" w:lineRule="exact"/>
      <w:ind w:firstLine="720"/>
      <w:jc w:val="both"/>
    </w:pPr>
    <w:rPr>
      <w:rFonts w:eastAsia="Calibri"/>
      <w:sz w:val="28"/>
      <w:szCs w:val="28"/>
      <w:lang w:val="uk-UA"/>
    </w:rPr>
  </w:style>
  <w:style w:type="character" w:customStyle="1" w:styleId="41">
    <w:name w:val="Текст примітки Знак"/>
    <w:basedOn w:val="11"/>
    <w:link w:val="15"/>
    <w:qFormat/>
    <w:uiPriority w:val="0"/>
    <w:rPr>
      <w:rFonts w:ascii="Times New Roman" w:hAnsi="Times New Roman" w:eastAsia="Times New Roman" w:cs="Times New Roman"/>
      <w:kern w:val="0"/>
      <w:sz w:val="20"/>
      <w:szCs w:val="20"/>
      <w:lang w:val="ru-RU" w:eastAsia="ru-RU"/>
      <w14:ligatures w14:val="none"/>
    </w:rPr>
  </w:style>
  <w:style w:type="character" w:customStyle="1" w:styleId="42">
    <w:name w:val="Основний текст Знак"/>
    <w:basedOn w:val="11"/>
    <w:link w:val="14"/>
    <w:qFormat/>
    <w:uiPriority w:val="99"/>
    <w:rPr>
      <w:rFonts w:ascii="Times New Roman" w:hAnsi="Times New Roman" w:eastAsia="Times New Roman" w:cs="Times New Roman"/>
      <w:color w:val="000000"/>
      <w:spacing w:val="-6"/>
      <w:kern w:val="0"/>
      <w:sz w:val="28"/>
      <w:szCs w:val="28"/>
      <w:lang w:val="uk-UA" w:eastAsia="ru-RU"/>
      <w14:ligatures w14:val="none"/>
    </w:rPr>
  </w:style>
  <w:style w:type="paragraph" w:styleId="43">
    <w:name w:val="No Spacing"/>
    <w:qFormat/>
    <w:uiPriority w:val="1"/>
    <w:pPr>
      <w:widowControl w:val="0"/>
      <w:autoSpaceDE w:val="0"/>
      <w:autoSpaceDN w:val="0"/>
      <w:adjustRightInd w:val="0"/>
      <w:spacing w:after="0" w:line="240" w:lineRule="auto"/>
    </w:pPr>
    <w:rPr>
      <w:rFonts w:ascii="Times New Roman" w:hAnsi="Times New Roman" w:eastAsia="Times New Roman" w:cs="Times New Roman"/>
      <w:kern w:val="0"/>
      <w:sz w:val="20"/>
      <w:szCs w:val="20"/>
      <w:lang w:val="ru-RU" w:eastAsia="ru-RU" w:bidi="ar-SA"/>
      <w14:ligatures w14:val="none"/>
    </w:rPr>
  </w:style>
  <w:style w:type="character" w:customStyle="1" w:styleId="44">
    <w:name w:val="rvts44"/>
    <w:basedOn w:val="11"/>
    <w:uiPriority w:val="0"/>
  </w:style>
  <w:style w:type="character" w:customStyle="1" w:styleId="45">
    <w:name w:val="Абзац списку Знак"/>
    <w:link w:val="34"/>
    <w:qFormat/>
    <w:locked/>
    <w:uiPriority w:val="34"/>
    <w:rPr>
      <w:rFonts w:ascii="Times New Roman" w:hAnsi="Times New Roman" w:eastAsia="Times New Roman" w:cs="Times New Roman"/>
      <w:kern w:val="0"/>
      <w:sz w:val="20"/>
      <w:szCs w:val="20"/>
      <w:lang w:val="ru-RU" w:eastAsia="ru-RU"/>
      <w14:ligatures w14:val="none"/>
    </w:rPr>
  </w:style>
  <w:style w:type="character" w:customStyle="1" w:styleId="46">
    <w:name w:val="Звичайний (веб) Знак"/>
    <w:link w:val="18"/>
    <w:qFormat/>
    <w:locked/>
    <w:uiPriority w:val="99"/>
    <w:rPr>
      <w:rFonts w:ascii="Times New Roman" w:hAnsi="Times New Roman" w:eastAsia="Times New Roman" w:cs="Times New Roman"/>
      <w:kern w:val="0"/>
      <w:sz w:val="24"/>
      <w:szCs w:val="24"/>
      <w:lang w:val="ru-RU" w:eastAsia="ru-RU"/>
      <w14:ligatures w14:val="none"/>
    </w:rPr>
  </w:style>
  <w:style w:type="character" w:customStyle="1" w:styleId="47">
    <w:name w:val="Верхній колонтитул Знак"/>
    <w:basedOn w:val="11"/>
    <w:link w:val="17"/>
    <w:qFormat/>
    <w:uiPriority w:val="99"/>
    <w:rPr>
      <w:rFonts w:ascii="Times New Roman" w:hAnsi="Times New Roman" w:eastAsia="Times New Roman" w:cs="Times New Roman"/>
      <w:kern w:val="0"/>
      <w:sz w:val="20"/>
      <w:szCs w:val="20"/>
      <w:lang w:val="ru-RU" w:eastAsia="ru-RU"/>
      <w14:ligatures w14:val="none"/>
    </w:rPr>
  </w:style>
  <w:style w:type="character" w:customStyle="1" w:styleId="48">
    <w:name w:val="Нижній колонтитул Знак"/>
    <w:basedOn w:val="11"/>
    <w:link w:val="16"/>
    <w:uiPriority w:val="99"/>
    <w:rPr>
      <w:rFonts w:ascii="Times New Roman" w:hAnsi="Times New Roman" w:eastAsia="Times New Roman" w:cs="Times New Roman"/>
      <w:kern w:val="0"/>
      <w:sz w:val="20"/>
      <w:szCs w:val="20"/>
      <w:lang w:val="ru-RU" w:eastAsia="ru-RU"/>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2759</Words>
  <Characters>20660</Characters>
  <Lines>71</Lines>
  <Paragraphs>46</Paragraphs>
  <TotalTime>5</TotalTime>
  <ScaleCrop>false</ScaleCrop>
  <LinksUpToDate>false</LinksUpToDate>
  <CharactersWithSpaces>23443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2026-07-28T16:56:00Z</dcterms:created>
  <dc:creator>Юлия Легеза</dc:creator>
  <cp:lastModifiedBy>Александра Макурина</cp:lastModifiedBy>
  <dcterms:modified xsi:type="dcterms:W3CDTF">2026-07-29T06:32:18Z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CA1981CE55E0492C9BDD5F79AB5C33E9_13</vt:lpwstr>
  </property>
</Properties>
</file>